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CB402B">
      <w:pPr>
        <w:keepNext w:val="0"/>
        <w:keepLines w:val="0"/>
        <w:pageBreakBefore w:val="0"/>
        <w:widowControl w:val="0"/>
        <w:kinsoku/>
        <w:wordWrap/>
        <w:overflowPunct/>
        <w:topLinePunct w:val="0"/>
        <w:autoSpaceDE w:val="0"/>
        <w:autoSpaceDN w:val="0"/>
        <w:bidi w:val="0"/>
        <w:adjustRightInd w:val="0"/>
        <w:snapToGrid w:val="0"/>
        <w:spacing w:line="576" w:lineRule="exact"/>
        <w:ind w:right="0"/>
        <w:jc w:val="center"/>
        <w:textAlignment w:val="baseline"/>
        <w:rPr>
          <w:rFonts w:hint="eastAsia" w:ascii="方正小标宋简体" w:hAnsi="方正小标宋简体" w:eastAsia="方正小标宋简体" w:cs="方正小标宋简体"/>
          <w:b w:val="0"/>
          <w:bCs w:val="0"/>
          <w:color w:val="000000" w:themeColor="text1"/>
          <w:spacing w:val="0"/>
          <w:sz w:val="44"/>
          <w:szCs w:val="44"/>
          <w:highlight w:val="none"/>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0"/>
          <w:sz w:val="44"/>
          <w:szCs w:val="44"/>
          <w:highlight w:val="none"/>
          <w:lang w:eastAsia="zh-CN"/>
          <w14:textFill>
            <w14:solidFill>
              <w14:schemeClr w14:val="tx1"/>
            </w14:solidFill>
          </w14:textFill>
        </w:rPr>
        <w:t>三门峡市</w:t>
      </w:r>
      <w:r>
        <w:rPr>
          <w:rFonts w:hint="eastAsia" w:ascii="方正小标宋简体" w:hAnsi="方正小标宋简体" w:eastAsia="方正小标宋简体" w:cs="方正小标宋简体"/>
          <w:b w:val="0"/>
          <w:bCs w:val="0"/>
          <w:color w:val="000000" w:themeColor="text1"/>
          <w:spacing w:val="0"/>
          <w:sz w:val="44"/>
          <w:szCs w:val="44"/>
          <w:highlight w:val="none"/>
          <w14:textFill>
            <w14:solidFill>
              <w14:schemeClr w14:val="tx1"/>
            </w14:solidFill>
          </w14:textFill>
        </w:rPr>
        <w:t>按病种付费管理暂行办法</w:t>
      </w:r>
    </w:p>
    <w:p w14:paraId="5D5B81BB">
      <w:pPr>
        <w:keepNext w:val="0"/>
        <w:keepLines w:val="0"/>
        <w:pageBreakBefore w:val="0"/>
        <w:widowControl w:val="0"/>
        <w:kinsoku/>
        <w:wordWrap/>
        <w:overflowPunct/>
        <w:topLinePunct w:val="0"/>
        <w:autoSpaceDE w:val="0"/>
        <w:autoSpaceDN w:val="0"/>
        <w:bidi w:val="0"/>
        <w:adjustRightInd w:val="0"/>
        <w:snapToGrid w:val="0"/>
        <w:spacing w:line="576" w:lineRule="exact"/>
        <w:ind w:right="0"/>
        <w:jc w:val="center"/>
        <w:textAlignment w:val="baseline"/>
        <w:rPr>
          <w:rFonts w:hint="eastAsia" w:ascii="方正小标宋简体" w:hAnsi="方正小标宋简体" w:eastAsia="方正小标宋简体" w:cs="方正小标宋简体"/>
          <w:b w:val="0"/>
          <w:bCs w:val="0"/>
          <w:color w:val="000000" w:themeColor="text1"/>
          <w:spacing w:val="0"/>
          <w:sz w:val="44"/>
          <w:szCs w:val="44"/>
          <w:highlight w:val="none"/>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0"/>
          <w:sz w:val="44"/>
          <w:szCs w:val="44"/>
          <w:highlight w:val="none"/>
          <w:lang w:eastAsia="zh-CN"/>
          <w14:textFill>
            <w14:solidFill>
              <w14:schemeClr w14:val="tx1"/>
            </w14:solidFill>
          </w14:textFill>
        </w:rPr>
        <w:t>（征求意见稿）</w:t>
      </w:r>
    </w:p>
    <w:p w14:paraId="4C3F28F2">
      <w:pPr>
        <w:keepNext w:val="0"/>
        <w:keepLines w:val="0"/>
        <w:pageBreakBefore w:val="0"/>
        <w:widowControl w:val="0"/>
        <w:kinsoku/>
        <w:wordWrap/>
        <w:overflowPunct/>
        <w:topLinePunct w:val="0"/>
        <w:autoSpaceDE w:val="0"/>
        <w:autoSpaceDN w:val="0"/>
        <w:bidi w:val="0"/>
        <w:adjustRightInd w:val="0"/>
        <w:snapToGrid w:val="0"/>
        <w:spacing w:line="576" w:lineRule="exact"/>
        <w:ind w:right="0"/>
        <w:jc w:val="center"/>
        <w:textAlignment w:val="baseline"/>
        <w:outlineLvl w:val="2"/>
        <w:rPr>
          <w:rFonts w:hint="eastAsia" w:ascii="黑体" w:hAnsi="黑体" w:eastAsia="黑体" w:cs="黑体"/>
          <w:b w:val="0"/>
          <w:bCs w:val="0"/>
          <w:color w:val="000000" w:themeColor="text1"/>
          <w:spacing w:val="0"/>
          <w:sz w:val="32"/>
          <w:szCs w:val="32"/>
          <w:highlight w:val="none"/>
          <w14:textFill>
            <w14:solidFill>
              <w14:schemeClr w14:val="tx1"/>
            </w14:solidFill>
          </w14:textFill>
        </w:rPr>
      </w:pPr>
    </w:p>
    <w:p w14:paraId="293E50A8">
      <w:pPr>
        <w:keepNext w:val="0"/>
        <w:keepLines w:val="0"/>
        <w:pageBreakBefore w:val="0"/>
        <w:widowControl w:val="0"/>
        <w:kinsoku/>
        <w:wordWrap/>
        <w:overflowPunct/>
        <w:topLinePunct w:val="0"/>
        <w:autoSpaceDE w:val="0"/>
        <w:autoSpaceDN w:val="0"/>
        <w:bidi w:val="0"/>
        <w:adjustRightInd w:val="0"/>
        <w:snapToGrid w:val="0"/>
        <w:spacing w:line="576" w:lineRule="exact"/>
        <w:ind w:right="0"/>
        <w:jc w:val="center"/>
        <w:textAlignment w:val="baseline"/>
        <w:outlineLvl w:val="2"/>
        <w:rPr>
          <w:rFonts w:hint="eastAsia" w:ascii="黑体" w:hAnsi="黑体" w:eastAsia="黑体" w:cs="黑体"/>
          <w:b w:val="0"/>
          <w:bCs w:val="0"/>
          <w:color w:val="000000" w:themeColor="text1"/>
          <w:spacing w:val="0"/>
          <w:sz w:val="32"/>
          <w:szCs w:val="32"/>
          <w:highlight w:val="none"/>
          <w14:textFill>
            <w14:solidFill>
              <w14:schemeClr w14:val="tx1"/>
            </w14:solidFill>
          </w14:textFill>
        </w:rPr>
      </w:pPr>
      <w:r>
        <w:rPr>
          <w:rFonts w:hint="eastAsia" w:ascii="黑体" w:hAnsi="黑体" w:eastAsia="黑体" w:cs="黑体"/>
          <w:b w:val="0"/>
          <w:bCs w:val="0"/>
          <w:color w:val="000000" w:themeColor="text1"/>
          <w:spacing w:val="0"/>
          <w:sz w:val="32"/>
          <w:szCs w:val="32"/>
          <w:highlight w:val="none"/>
          <w14:textFill>
            <w14:solidFill>
              <w14:schemeClr w14:val="tx1"/>
            </w14:solidFill>
          </w14:textFill>
        </w:rPr>
        <w:t>第一章  总  则</w:t>
      </w:r>
    </w:p>
    <w:p w14:paraId="7F72BB11">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eastAsia" w:ascii="黑体" w:hAnsi="黑体" w:eastAsia="黑体" w:cs="黑体"/>
          <w:color w:val="000000" w:themeColor="text1"/>
          <w:spacing w:val="0"/>
          <w:sz w:val="32"/>
          <w:szCs w:val="32"/>
          <w:highlight w:val="none"/>
          <w14:textFill>
            <w14:solidFill>
              <w14:schemeClr w14:val="tx1"/>
            </w14:solidFill>
          </w14:textFill>
        </w:rPr>
        <w:t>第一条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根据《中共中央</w:t>
      </w:r>
      <w:r>
        <w:rPr>
          <w:rFonts w:hint="eastAsia"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国务院关于深化医疗</w:t>
      </w:r>
      <w:bookmarkStart w:id="0" w:name="_GoBack"/>
      <w:bookmarkEnd w:id="0"/>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保障制度改革的意见》</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中发〔2020〕5号</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、《国家医疗保障局关于印发医疗保障按病种付费管理暂行办法》</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医保发〔2025〕18号</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、《河南省医疗保障局关于印发河南省按病种付费管理暂行办法》（豫医保</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〔2025〕</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9号</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）、《三门峡市医疗保障局关于印发三门峡市基本医疗保险区域点数法总额预算和按病种分值付费结算办法（修订版）的通知》（三医保</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〔202</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3</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52号</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等</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文件</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要求，为进一步规范全</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按病种付费管理工作，建立管用高效的医保支付机制，赋能医疗机构发展，结合我</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实际，制定本办法。</w:t>
      </w:r>
    </w:p>
    <w:p w14:paraId="62F3D87A">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第二条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本办法适用于医保部门与</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全市按病种付费管理（简称</w:t>
      </w:r>
      <w:r>
        <w:rPr>
          <w:rFonts w:hint="eastAsia"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DIP）的</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定点医疗机构</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以下简称医疗机构</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结算住院医疗费用</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含异地就医</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。参保人员在医疗机构住院结算按照相关医保政策执行，医保待遇不受按病种付费影响。</w:t>
      </w:r>
    </w:p>
    <w:p w14:paraId="063C191B">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snapToGrid w:val="0"/>
          <w:color w:val="000000" w:themeColor="text1"/>
          <w:spacing w:val="0"/>
          <w:kern w:val="0"/>
          <w:sz w:val="32"/>
          <w:szCs w:val="32"/>
          <w:highlight w:val="none"/>
          <w:lang w:val="en-US" w:eastAsia="en-US" w:bidi="ar-SA"/>
          <w14:textFill>
            <w14:solidFill>
              <w14:schemeClr w14:val="tx1"/>
            </w14:solidFill>
          </w14:textFill>
        </w:rPr>
        <w:t>第三条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snapToGrid w:val="0"/>
          <w:color w:val="000000" w:themeColor="text1"/>
          <w:spacing w:val="0"/>
          <w:kern w:val="0"/>
          <w:sz w:val="32"/>
          <w:szCs w:val="32"/>
          <w:highlight w:val="none"/>
          <w:lang w:val="en-US" w:eastAsia="zh-CN" w:bidi="ar-SA"/>
          <w14:textFill>
            <w14:solidFill>
              <w14:schemeClr w14:val="tx1"/>
            </w14:solidFill>
          </w14:textFill>
        </w:rPr>
        <w:t>市</w:t>
      </w:r>
      <w:r>
        <w:rPr>
          <w:rFonts w:hint="default" w:ascii="Times New Roman" w:hAnsi="Times New Roman" w:eastAsia="仿宋_GB2312" w:cs="Times New Roman"/>
          <w:snapToGrid w:val="0"/>
          <w:color w:val="000000" w:themeColor="text1"/>
          <w:spacing w:val="0"/>
          <w:kern w:val="0"/>
          <w:sz w:val="32"/>
          <w:szCs w:val="32"/>
          <w:highlight w:val="none"/>
          <w:lang w:val="en-US" w:eastAsia="en-US" w:bidi="ar-SA"/>
          <w14:textFill>
            <w14:solidFill>
              <w14:schemeClr w14:val="tx1"/>
            </w14:solidFill>
          </w14:textFill>
        </w:rPr>
        <w:t>级医保行政部门按照国家</w:t>
      </w:r>
      <w:r>
        <w:rPr>
          <w:rFonts w:hint="default" w:ascii="Times New Roman" w:hAnsi="Times New Roman" w:eastAsia="仿宋_GB2312" w:cs="Times New Roman"/>
          <w:snapToGrid w:val="0"/>
          <w:color w:val="000000" w:themeColor="text1"/>
          <w:spacing w:val="0"/>
          <w:kern w:val="0"/>
          <w:sz w:val="32"/>
          <w:szCs w:val="32"/>
          <w:highlight w:val="none"/>
          <w:lang w:val="en-US" w:eastAsia="zh-CN" w:bidi="ar-SA"/>
          <w14:textFill>
            <w14:solidFill>
              <w14:schemeClr w14:val="tx1"/>
            </w14:solidFill>
          </w14:textFill>
        </w:rPr>
        <w:t>和省级</w:t>
      </w:r>
      <w:r>
        <w:rPr>
          <w:rFonts w:hint="default" w:ascii="Times New Roman" w:hAnsi="Times New Roman" w:eastAsia="仿宋_GB2312" w:cs="Times New Roman"/>
          <w:snapToGrid w:val="0"/>
          <w:color w:val="000000" w:themeColor="text1"/>
          <w:spacing w:val="0"/>
          <w:kern w:val="0"/>
          <w:sz w:val="32"/>
          <w:szCs w:val="32"/>
          <w:highlight w:val="none"/>
          <w:lang w:val="en-US" w:eastAsia="en-US" w:bidi="ar-SA"/>
          <w14:textFill>
            <w14:solidFill>
              <w14:schemeClr w14:val="tx1"/>
            </w14:solidFill>
          </w14:textFill>
        </w:rPr>
        <w:t>要求</w:t>
      </w:r>
      <w:r>
        <w:rPr>
          <w:rFonts w:hint="eastAsia" w:ascii="Times New Roman" w:hAnsi="Times New Roman" w:eastAsia="仿宋_GB2312" w:cs="Times New Roman"/>
          <w:snapToGrid w:val="0"/>
          <w:color w:val="000000" w:themeColor="text1"/>
          <w:spacing w:val="0"/>
          <w:kern w:val="0"/>
          <w:sz w:val="32"/>
          <w:szCs w:val="32"/>
          <w:highlight w:val="none"/>
          <w:lang w:val="en-US" w:eastAsia="zh-CN" w:bidi="ar-SA"/>
          <w14:textFill>
            <w14:solidFill>
              <w14:schemeClr w14:val="tx1"/>
            </w14:solidFill>
          </w14:textFill>
        </w:rPr>
        <w:t>制定按病种付费相关政策，</w:t>
      </w:r>
      <w:r>
        <w:rPr>
          <w:rFonts w:hint="default" w:ascii="Times New Roman" w:hAnsi="Times New Roman" w:eastAsia="仿宋_GB2312" w:cs="Times New Roman"/>
          <w:color w:val="000000" w:themeColor="text1"/>
          <w:spacing w:val="0"/>
          <w:kern w:val="2"/>
          <w:sz w:val="32"/>
          <w:szCs w:val="32"/>
          <w:highlight w:val="none"/>
          <w:lang w:val="en-US" w:eastAsia="zh-CN" w:bidi="ar"/>
          <w14:textFill>
            <w14:solidFill>
              <w14:schemeClr w14:val="tx1"/>
            </w14:solidFill>
          </w14:textFill>
        </w:rPr>
        <w:t>统筹推进全市改革工作落地，各级医保部门负责属地</w:t>
      </w:r>
      <w:r>
        <w:rPr>
          <w:rFonts w:hint="default" w:ascii="Times New Roman" w:hAnsi="Times New Roman" w:eastAsia="仿宋_GB2312" w:cs="Times New Roman"/>
          <w:snapToGrid w:val="0"/>
          <w:color w:val="000000" w:themeColor="text1"/>
          <w:spacing w:val="0"/>
          <w:kern w:val="0"/>
          <w:sz w:val="32"/>
          <w:szCs w:val="32"/>
          <w:highlight w:val="none"/>
          <w:lang w:val="en-US" w:eastAsia="en-US" w:bidi="ar-SA"/>
          <w14:textFill>
            <w14:solidFill>
              <w14:schemeClr w14:val="tx1"/>
            </w14:solidFill>
          </w14:textFill>
        </w:rPr>
        <w:t>按病种付费管理</w:t>
      </w:r>
      <w:r>
        <w:rPr>
          <w:rFonts w:hint="default" w:ascii="Times New Roman" w:hAnsi="Times New Roman" w:eastAsia="仿宋_GB2312" w:cs="Times New Roman"/>
          <w:color w:val="000000" w:themeColor="text1"/>
          <w:spacing w:val="0"/>
          <w:kern w:val="2"/>
          <w:sz w:val="32"/>
          <w:szCs w:val="32"/>
          <w:highlight w:val="none"/>
          <w:lang w:val="en-US" w:eastAsia="zh-CN" w:bidi="ar"/>
          <w14:textFill>
            <w14:solidFill>
              <w14:schemeClr w14:val="tx1"/>
            </w14:solidFill>
          </w14:textFill>
        </w:rPr>
        <w:t>的组织实施，加强与相关部门、医疗机构的协调配合，有序推进改革落地。</w:t>
      </w:r>
    </w:p>
    <w:p w14:paraId="0B15BE30">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kern w:val="2"/>
          <w:sz w:val="32"/>
          <w:szCs w:val="32"/>
          <w:highlight w:val="none"/>
          <w:lang w:val="en-US" w:eastAsia="zh-CN" w:bidi="ar"/>
          <w14:textFill>
            <w14:solidFill>
              <w14:schemeClr w14:val="tx1"/>
            </w14:solidFill>
          </w14:textFill>
        </w:rPr>
      </w:pPr>
      <w:r>
        <w:rPr>
          <w:rFonts w:hint="default" w:ascii="黑体" w:hAnsi="黑体" w:eastAsia="黑体" w:cs="黑体"/>
          <w:color w:val="000000" w:themeColor="text1"/>
          <w:spacing w:val="0"/>
          <w:sz w:val="32"/>
          <w:szCs w:val="32"/>
          <w:highlight w:val="none"/>
          <w:lang w:val="en-US" w:eastAsia="en-US"/>
          <w14:textFill>
            <w14:solidFill>
              <w14:schemeClr w14:val="tx1"/>
            </w14:solidFill>
          </w14:textFill>
        </w:rPr>
        <w:t>第四条</w:t>
      </w:r>
      <w:r>
        <w:rPr>
          <w:rFonts w:hint="default" w:ascii="Times New Roman" w:hAnsi="Times New Roman" w:eastAsia="仿宋_GB2312" w:cs="Times New Roman"/>
          <w:snapToGrid w:val="0"/>
          <w:color w:val="000000" w:themeColor="text1"/>
          <w:spacing w:val="0"/>
          <w:kern w:val="0"/>
          <w:sz w:val="32"/>
          <w:szCs w:val="32"/>
          <w:highlight w:val="none"/>
          <w:lang w:val="en-US" w:eastAsia="en-US" w:bidi="ar-SA"/>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kern w:val="2"/>
          <w:sz w:val="32"/>
          <w:szCs w:val="32"/>
          <w:highlight w:val="none"/>
          <w:lang w:val="en-US" w:eastAsia="zh-CN" w:bidi="ar"/>
          <w14:textFill>
            <w14:solidFill>
              <w14:schemeClr w14:val="tx1"/>
            </w14:solidFill>
          </w14:textFill>
        </w:rPr>
        <w:t>市</w:t>
      </w:r>
      <w:r>
        <w:rPr>
          <w:rFonts w:hint="eastAsia" w:ascii="Times New Roman" w:hAnsi="Times New Roman" w:eastAsia="仿宋_GB2312" w:cs="Times New Roman"/>
          <w:color w:val="000000" w:themeColor="text1"/>
          <w:spacing w:val="0"/>
          <w:kern w:val="2"/>
          <w:sz w:val="32"/>
          <w:szCs w:val="32"/>
          <w:highlight w:val="none"/>
          <w:lang w:val="en-US" w:eastAsia="zh-CN" w:bidi="ar"/>
          <w14:textFill>
            <w14:solidFill>
              <w14:schemeClr w14:val="tx1"/>
            </w14:solidFill>
          </w14:textFill>
        </w:rPr>
        <w:t>级</w:t>
      </w:r>
      <w:r>
        <w:rPr>
          <w:rFonts w:hint="default" w:ascii="Times New Roman" w:hAnsi="Times New Roman" w:eastAsia="仿宋_GB2312" w:cs="Times New Roman"/>
          <w:color w:val="000000" w:themeColor="text1"/>
          <w:spacing w:val="0"/>
          <w:kern w:val="2"/>
          <w:sz w:val="32"/>
          <w:szCs w:val="32"/>
          <w:highlight w:val="none"/>
          <w:lang w:val="en-US" w:eastAsia="zh-CN" w:bidi="ar"/>
          <w14:textFill>
            <w14:solidFill>
              <w14:schemeClr w14:val="tx1"/>
            </w14:solidFill>
          </w14:textFill>
        </w:rPr>
        <w:t>医保经办机构负责全市DIP付费结算工作规范管理和业务指导，做好全市DIP预算编制、运行分析等工作，各级医保经办机构负责落实医保支付方式改革纳入定点服务协议管理和基金预付、结算清算、稽核考核、政策宣传及运行分析等工作。</w:t>
      </w:r>
    </w:p>
    <w:p w14:paraId="6C7590BB">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第五条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医疗机构按照医保协议约定，负责制定完善与医保支付方式改革相一致的内部管理制度、配套</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设</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施</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等</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。及时完成病案审核，按规定上传参保人员住院病案首页、医保结算清单等相关信息。</w:t>
      </w:r>
    </w:p>
    <w:p w14:paraId="51B790AC">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p>
    <w:p w14:paraId="516BBD32">
      <w:pPr>
        <w:keepNext w:val="0"/>
        <w:keepLines w:val="0"/>
        <w:pageBreakBefore w:val="0"/>
        <w:widowControl w:val="0"/>
        <w:kinsoku/>
        <w:wordWrap/>
        <w:overflowPunct/>
        <w:topLinePunct w:val="0"/>
        <w:autoSpaceDE w:val="0"/>
        <w:autoSpaceDN w:val="0"/>
        <w:bidi w:val="0"/>
        <w:adjustRightInd w:val="0"/>
        <w:snapToGrid w:val="0"/>
        <w:spacing w:line="576" w:lineRule="exact"/>
        <w:ind w:right="0"/>
        <w:jc w:val="center"/>
        <w:textAlignment w:val="baseline"/>
        <w:outlineLvl w:val="2"/>
        <w:rPr>
          <w:rFonts w:hint="default" w:ascii="黑体" w:hAnsi="黑体" w:eastAsia="黑体" w:cs="黑体"/>
          <w:b w:val="0"/>
          <w:bCs w:val="0"/>
          <w:color w:val="000000" w:themeColor="text1"/>
          <w:spacing w:val="0"/>
          <w:sz w:val="32"/>
          <w:szCs w:val="32"/>
          <w:highlight w:val="none"/>
          <w14:textFill>
            <w14:solidFill>
              <w14:schemeClr w14:val="tx1"/>
            </w14:solidFill>
          </w14:textFill>
        </w:rPr>
      </w:pPr>
      <w:r>
        <w:rPr>
          <w:rFonts w:hint="default" w:ascii="黑体" w:hAnsi="黑体" w:eastAsia="黑体" w:cs="黑体"/>
          <w:b w:val="0"/>
          <w:bCs w:val="0"/>
          <w:color w:val="000000" w:themeColor="text1"/>
          <w:spacing w:val="0"/>
          <w:sz w:val="32"/>
          <w:szCs w:val="32"/>
          <w:highlight w:val="none"/>
          <w14:textFill>
            <w14:solidFill>
              <w14:schemeClr w14:val="tx1"/>
            </w14:solidFill>
          </w14:textFill>
        </w:rPr>
        <w:t>第二章</w:t>
      </w:r>
      <w:r>
        <w:rPr>
          <w:rFonts w:hint="eastAsia" w:ascii="黑体" w:hAnsi="黑体" w:eastAsia="黑体" w:cs="黑体"/>
          <w:b w:val="0"/>
          <w:bCs w:val="0"/>
          <w:color w:val="000000" w:themeColor="text1"/>
          <w:spacing w:val="0"/>
          <w:sz w:val="32"/>
          <w:szCs w:val="32"/>
          <w:highlight w:val="none"/>
          <w:lang w:val="en-US" w:eastAsia="zh-CN"/>
          <w14:textFill>
            <w14:solidFill>
              <w14:schemeClr w14:val="tx1"/>
            </w14:solidFill>
          </w14:textFill>
        </w:rPr>
        <w:t xml:space="preserve">  </w:t>
      </w:r>
      <w:r>
        <w:rPr>
          <w:rFonts w:hint="default" w:ascii="黑体" w:hAnsi="黑体" w:eastAsia="黑体" w:cs="黑体"/>
          <w:b w:val="0"/>
          <w:bCs w:val="0"/>
          <w:color w:val="000000" w:themeColor="text1"/>
          <w:spacing w:val="0"/>
          <w:sz w:val="32"/>
          <w:szCs w:val="32"/>
          <w:highlight w:val="none"/>
          <w14:textFill>
            <w14:solidFill>
              <w14:schemeClr w14:val="tx1"/>
            </w14:solidFill>
          </w14:textFill>
        </w:rPr>
        <w:t>基本原则</w:t>
      </w:r>
    </w:p>
    <w:p w14:paraId="4D86EB44">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snapToGrid w:val="0"/>
          <w:color w:val="000000" w:themeColor="text1"/>
          <w:spacing w:val="0"/>
          <w:kern w:val="0"/>
          <w:sz w:val="32"/>
          <w:szCs w:val="32"/>
          <w:highlight w:val="none"/>
          <w:lang w:val="en-US" w:eastAsia="en-US" w:bidi="ar-SA"/>
          <w14:textFill>
            <w14:solidFill>
              <w14:schemeClr w14:val="tx1"/>
            </w14:solidFill>
          </w14:textFill>
        </w:rPr>
        <w:t>第</w:t>
      </w:r>
      <w:r>
        <w:rPr>
          <w:rFonts w:hint="default" w:ascii="黑体" w:hAnsi="黑体" w:eastAsia="黑体" w:cs="黑体"/>
          <w:snapToGrid w:val="0"/>
          <w:color w:val="000000" w:themeColor="text1"/>
          <w:spacing w:val="0"/>
          <w:kern w:val="0"/>
          <w:sz w:val="32"/>
          <w:szCs w:val="32"/>
          <w:highlight w:val="none"/>
          <w:lang w:val="en-US" w:eastAsia="zh-CN" w:bidi="ar-SA"/>
          <w14:textFill>
            <w14:solidFill>
              <w14:schemeClr w14:val="tx1"/>
            </w14:solidFill>
          </w14:textFill>
        </w:rPr>
        <w:t>六</w:t>
      </w:r>
      <w:r>
        <w:rPr>
          <w:rFonts w:hint="default" w:ascii="黑体" w:hAnsi="黑体" w:eastAsia="黑体" w:cs="黑体"/>
          <w:snapToGrid w:val="0"/>
          <w:color w:val="000000" w:themeColor="text1"/>
          <w:spacing w:val="0"/>
          <w:kern w:val="0"/>
          <w:sz w:val="32"/>
          <w:szCs w:val="32"/>
          <w:highlight w:val="none"/>
          <w:lang w:val="en-US" w:eastAsia="en-US" w:bidi="ar-SA"/>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坚持区域总额预算的原则。DIP遵循“预算管理、病种赋值、月预结算、年度清算”原则，建立“结余留用、合理超支分担”的激励和风险分担机制，激励定点医疗机构建立健全与DIP相适应的内部管理机制，合理控制</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成本</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减少不必要的资源浪费，</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提高医疗服务质量，保障参保人员权益。</w:t>
      </w:r>
    </w:p>
    <w:p w14:paraId="47E0F815">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snapToGrid w:val="0"/>
          <w:color w:val="000000" w:themeColor="text1"/>
          <w:spacing w:val="0"/>
          <w:kern w:val="0"/>
          <w:sz w:val="32"/>
          <w:szCs w:val="32"/>
          <w:highlight w:val="none"/>
          <w:lang w:val="en-US" w:eastAsia="en-US" w:bidi="ar-SA"/>
          <w14:textFill>
            <w14:solidFill>
              <w14:schemeClr w14:val="tx1"/>
            </w14:solidFill>
          </w14:textFill>
        </w:rPr>
        <w:t>第</w:t>
      </w:r>
      <w:r>
        <w:rPr>
          <w:rFonts w:hint="default" w:ascii="黑体" w:hAnsi="黑体" w:eastAsia="黑体" w:cs="黑体"/>
          <w:snapToGrid w:val="0"/>
          <w:color w:val="000000" w:themeColor="text1"/>
          <w:spacing w:val="0"/>
          <w:kern w:val="0"/>
          <w:sz w:val="32"/>
          <w:szCs w:val="32"/>
          <w:highlight w:val="none"/>
          <w:lang w:val="en-US" w:eastAsia="zh-CN" w:bidi="ar-SA"/>
          <w14:textFill>
            <w14:solidFill>
              <w14:schemeClr w14:val="tx1"/>
            </w14:solidFill>
          </w14:textFill>
        </w:rPr>
        <w:t>七</w:t>
      </w:r>
      <w:r>
        <w:rPr>
          <w:rFonts w:hint="default" w:ascii="黑体" w:hAnsi="黑体" w:eastAsia="黑体" w:cs="黑体"/>
          <w:snapToGrid w:val="0"/>
          <w:color w:val="000000" w:themeColor="text1"/>
          <w:spacing w:val="0"/>
          <w:kern w:val="0"/>
          <w:sz w:val="32"/>
          <w:szCs w:val="32"/>
          <w:highlight w:val="none"/>
          <w:lang w:val="en-US" w:eastAsia="en-US" w:bidi="ar-SA"/>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坚持医疗机构、病种全覆盖的原则。原则上全市所有进行住院医保结算的定点医疗机构全部纳入总额预算；除按床日等特殊情况外，其他住院均纳入DIP结算范围。</w:t>
      </w:r>
    </w:p>
    <w:p w14:paraId="1BBFC43B">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snapToGrid w:val="0"/>
          <w:color w:val="000000" w:themeColor="text1"/>
          <w:spacing w:val="0"/>
          <w:kern w:val="0"/>
          <w:sz w:val="32"/>
          <w:szCs w:val="32"/>
          <w:highlight w:val="none"/>
          <w:lang w:val="en-US" w:eastAsia="en-US" w:bidi="ar-SA"/>
          <w14:textFill>
            <w14:solidFill>
              <w14:schemeClr w14:val="tx1"/>
            </w14:solidFill>
          </w14:textFill>
        </w:rPr>
        <w:t>第</w:t>
      </w:r>
      <w:r>
        <w:rPr>
          <w:rFonts w:hint="default" w:ascii="黑体" w:hAnsi="黑体" w:eastAsia="黑体" w:cs="黑体"/>
          <w:snapToGrid w:val="0"/>
          <w:color w:val="000000" w:themeColor="text1"/>
          <w:spacing w:val="0"/>
          <w:kern w:val="0"/>
          <w:sz w:val="32"/>
          <w:szCs w:val="32"/>
          <w:highlight w:val="none"/>
          <w:lang w:val="en-US" w:eastAsia="zh-CN" w:bidi="ar-SA"/>
          <w14:textFill>
            <w14:solidFill>
              <w14:schemeClr w14:val="tx1"/>
            </w14:solidFill>
          </w14:textFill>
        </w:rPr>
        <w:t>八</w:t>
      </w:r>
      <w:r>
        <w:rPr>
          <w:rFonts w:hint="default" w:ascii="黑体" w:hAnsi="黑体" w:eastAsia="黑体" w:cs="黑体"/>
          <w:snapToGrid w:val="0"/>
          <w:color w:val="000000" w:themeColor="text1"/>
          <w:spacing w:val="0"/>
          <w:kern w:val="0"/>
          <w:sz w:val="32"/>
          <w:szCs w:val="32"/>
          <w:highlight w:val="none"/>
          <w:lang w:val="en-US" w:eastAsia="en-US" w:bidi="ar-SA"/>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坚持统一技术标准的原则。实施DIP分值付费统一执行国家医疗保障局信息系统建设技术标准、业务项目编码标准、业务流程经办标准、医疗保障基金结算清单项目内容和信息系统接口规范等；统一按照国家医疗保障局DIP病种分组、技术规范等，确定我市DIP病种目录库。</w:t>
      </w:r>
    </w:p>
    <w:p w14:paraId="4746F3FB">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p>
    <w:p w14:paraId="5CE4F09E">
      <w:pPr>
        <w:keepNext w:val="0"/>
        <w:keepLines w:val="0"/>
        <w:pageBreakBefore w:val="0"/>
        <w:widowControl w:val="0"/>
        <w:kinsoku/>
        <w:wordWrap/>
        <w:overflowPunct/>
        <w:topLinePunct w:val="0"/>
        <w:autoSpaceDE w:val="0"/>
        <w:autoSpaceDN w:val="0"/>
        <w:bidi w:val="0"/>
        <w:adjustRightInd w:val="0"/>
        <w:snapToGrid w:val="0"/>
        <w:spacing w:line="576" w:lineRule="exact"/>
        <w:ind w:right="0"/>
        <w:jc w:val="center"/>
        <w:textAlignment w:val="baseline"/>
        <w:outlineLvl w:val="2"/>
        <w:rPr>
          <w:rFonts w:hint="default" w:ascii="黑体" w:hAnsi="黑体" w:eastAsia="黑体" w:cs="黑体"/>
          <w:b w:val="0"/>
          <w:bCs w:val="0"/>
          <w:color w:val="000000" w:themeColor="text1"/>
          <w:spacing w:val="0"/>
          <w:sz w:val="32"/>
          <w:szCs w:val="32"/>
          <w:highlight w:val="none"/>
          <w14:textFill>
            <w14:solidFill>
              <w14:schemeClr w14:val="tx1"/>
            </w14:solidFill>
          </w14:textFill>
        </w:rPr>
      </w:pPr>
      <w:r>
        <w:rPr>
          <w:rFonts w:hint="default" w:ascii="黑体" w:hAnsi="黑体" w:eastAsia="黑体" w:cs="黑体"/>
          <w:b w:val="0"/>
          <w:bCs w:val="0"/>
          <w:color w:val="000000" w:themeColor="text1"/>
          <w:spacing w:val="0"/>
          <w:sz w:val="32"/>
          <w:szCs w:val="32"/>
          <w:highlight w:val="none"/>
          <w14:textFill>
            <w14:solidFill>
              <w14:schemeClr w14:val="tx1"/>
            </w14:solidFill>
          </w14:textFill>
        </w:rPr>
        <w:t>第</w:t>
      </w:r>
      <w:r>
        <w:rPr>
          <w:rFonts w:hint="default" w:ascii="黑体" w:hAnsi="黑体" w:eastAsia="黑体" w:cs="黑体"/>
          <w:b w:val="0"/>
          <w:bCs w:val="0"/>
          <w:color w:val="000000" w:themeColor="text1"/>
          <w:spacing w:val="0"/>
          <w:sz w:val="32"/>
          <w:szCs w:val="32"/>
          <w:highlight w:val="none"/>
          <w:lang w:eastAsia="zh-CN"/>
          <w14:textFill>
            <w14:solidFill>
              <w14:schemeClr w14:val="tx1"/>
            </w14:solidFill>
          </w14:textFill>
        </w:rPr>
        <w:t>三</w:t>
      </w:r>
      <w:r>
        <w:rPr>
          <w:rFonts w:hint="default" w:ascii="黑体" w:hAnsi="黑体" w:eastAsia="黑体" w:cs="黑体"/>
          <w:b w:val="0"/>
          <w:bCs w:val="0"/>
          <w:color w:val="000000" w:themeColor="text1"/>
          <w:spacing w:val="0"/>
          <w:sz w:val="32"/>
          <w:szCs w:val="32"/>
          <w:highlight w:val="none"/>
          <w14:textFill>
            <w14:solidFill>
              <w14:schemeClr w14:val="tx1"/>
            </w14:solidFill>
          </w14:textFill>
        </w:rPr>
        <w:t>章  总额预算管理</w:t>
      </w:r>
    </w:p>
    <w:p w14:paraId="5E01234E">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w:t>
      </w:r>
      <w:r>
        <w:rPr>
          <w:rFonts w:hint="default" w:ascii="黑体" w:hAnsi="黑体" w:eastAsia="黑体" w:cs="黑体"/>
          <w:color w:val="000000" w:themeColor="text1"/>
          <w:spacing w:val="0"/>
          <w:sz w:val="32"/>
          <w:szCs w:val="32"/>
          <w:highlight w:val="none"/>
          <w:lang w:eastAsia="zh-CN"/>
          <w14:textFill>
            <w14:solidFill>
              <w14:schemeClr w14:val="tx1"/>
            </w14:solidFill>
          </w14:textFill>
        </w:rPr>
        <w:t>九</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市级</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医保</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经办机构</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按照“以收定支，收支平衡，略有结余”的原则，确定本年度DIP付费基金支出预算总额</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以下简称DIP付费预算总额</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w:t>
      </w:r>
    </w:p>
    <w:p w14:paraId="1618AA31">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w:t>
      </w:r>
      <w:r>
        <w:rPr>
          <w:rFonts w:hint="default" w:ascii="黑体" w:hAnsi="黑体" w:eastAsia="黑体" w:cs="黑体"/>
          <w:color w:val="000000" w:themeColor="text1"/>
          <w:spacing w:val="0"/>
          <w:sz w:val="32"/>
          <w:szCs w:val="32"/>
          <w:highlight w:val="none"/>
          <w:lang w:eastAsia="zh-CN"/>
          <w14:textFill>
            <w14:solidFill>
              <w14:schemeClr w14:val="tx1"/>
            </w14:solidFill>
          </w14:textFill>
        </w:rPr>
        <w:t>十</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每年初，</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市级</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医保经办机构根据本年度基金收入、参保人数及增长预期、参保人员缴费水平和上年医疗总费用、医保基金支出、药品和医用耗材集采降价等指标，确定年度DIP付费预算总额，编制基金预算，制定实施方案，报</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级医保行政部门备案后实施。本地就医和异地就医预算应分项分类编制，职工、居民医保DIP付费预算总额应分别编制。</w:t>
      </w:r>
    </w:p>
    <w:p w14:paraId="3FF44E9B">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eastAsia" w:ascii="Times New Roman" w:hAnsi="Times New Roman" w:eastAsia="仿宋_GB2312" w:cs="Times New Roman"/>
          <w:color w:val="auto"/>
          <w:spacing w:val="0"/>
          <w:sz w:val="32"/>
          <w:szCs w:val="32"/>
          <w:highlight w:val="none"/>
          <w:lang w:eastAsia="zh-CN"/>
        </w:rPr>
      </w:pPr>
      <w:r>
        <w:rPr>
          <w:rFonts w:hint="default" w:ascii="黑体" w:hAnsi="黑体" w:eastAsia="黑体" w:cs="黑体"/>
          <w:color w:val="000000" w:themeColor="text1"/>
          <w:spacing w:val="0"/>
          <w:sz w:val="32"/>
          <w:szCs w:val="32"/>
          <w:highlight w:val="none"/>
          <w14:textFill>
            <w14:solidFill>
              <w14:schemeClr w14:val="tx1"/>
            </w14:solidFill>
          </w14:textFill>
        </w:rPr>
        <w:t>第</w:t>
      </w:r>
      <w:r>
        <w:rPr>
          <w:rFonts w:hint="default" w:ascii="黑体" w:hAnsi="黑体" w:eastAsia="黑体" w:cs="黑体"/>
          <w:color w:val="000000" w:themeColor="text1"/>
          <w:spacing w:val="0"/>
          <w:sz w:val="32"/>
          <w:szCs w:val="32"/>
          <w:highlight w:val="none"/>
          <w:lang w:eastAsia="zh-CN"/>
          <w14:textFill>
            <w14:solidFill>
              <w14:schemeClr w14:val="tx1"/>
            </w14:solidFill>
          </w14:textFill>
        </w:rPr>
        <w:t>十一</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eastAsia" w:ascii="Times New Roman" w:hAnsi="Times New Roman" w:eastAsia="仿宋_GB2312" w:cs="Times New Roman"/>
          <w:color w:val="auto"/>
          <w:spacing w:val="0"/>
          <w:sz w:val="32"/>
          <w:szCs w:val="32"/>
          <w:highlight w:val="none"/>
          <w:lang w:eastAsia="zh-CN"/>
        </w:rPr>
        <w:t>风险储备金可</w:t>
      </w:r>
      <w:r>
        <w:rPr>
          <w:rFonts w:hint="default" w:ascii="Times New Roman" w:hAnsi="Times New Roman" w:eastAsia="仿宋_GB2312" w:cs="Times New Roman"/>
          <w:color w:val="auto"/>
          <w:spacing w:val="0"/>
          <w:sz w:val="32"/>
          <w:szCs w:val="32"/>
          <w:highlight w:val="none"/>
        </w:rPr>
        <w:t>用于年度清算合理超支分担等情况。</w:t>
      </w:r>
      <w:r>
        <w:rPr>
          <w:rFonts w:hint="eastAsia" w:ascii="Times New Roman" w:hAnsi="Times New Roman" w:eastAsia="仿宋_GB2312" w:cs="Times New Roman"/>
          <w:color w:val="auto"/>
          <w:spacing w:val="0"/>
          <w:sz w:val="32"/>
          <w:szCs w:val="32"/>
          <w:highlight w:val="none"/>
          <w:lang w:eastAsia="zh-CN"/>
        </w:rPr>
        <w:t>政策调整基金</w:t>
      </w:r>
      <w:r>
        <w:rPr>
          <w:rFonts w:hint="default" w:ascii="Times New Roman" w:hAnsi="Times New Roman" w:eastAsia="仿宋_GB2312" w:cs="Times New Roman"/>
          <w:color w:val="auto"/>
          <w:spacing w:val="0"/>
          <w:sz w:val="32"/>
          <w:szCs w:val="32"/>
          <w:highlight w:val="none"/>
        </w:rPr>
        <w:t>用于</w:t>
      </w:r>
      <w:r>
        <w:rPr>
          <w:rFonts w:hint="eastAsia" w:ascii="Times New Roman" w:hAnsi="Times New Roman" w:eastAsia="仿宋_GB2312" w:cs="Times New Roman"/>
          <w:color w:val="auto"/>
          <w:spacing w:val="0"/>
          <w:sz w:val="32"/>
          <w:szCs w:val="32"/>
          <w:highlight w:val="none"/>
          <w:lang w:eastAsia="zh-CN"/>
        </w:rPr>
        <w:t>医保政策调整、医保支付改革等。</w:t>
      </w:r>
    </w:p>
    <w:p w14:paraId="5306D4AE">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w:t>
      </w:r>
      <w:r>
        <w:rPr>
          <w:rFonts w:hint="default" w:ascii="黑体" w:hAnsi="黑体" w:eastAsia="黑体" w:cs="黑体"/>
          <w:color w:val="000000" w:themeColor="text1"/>
          <w:spacing w:val="0"/>
          <w:sz w:val="32"/>
          <w:szCs w:val="32"/>
          <w:highlight w:val="none"/>
          <w:lang w:eastAsia="zh-CN"/>
          <w14:textFill>
            <w14:solidFill>
              <w14:schemeClr w14:val="tx1"/>
            </w14:solidFill>
          </w14:textFill>
        </w:rPr>
        <w:t>十二</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年度清算时，</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市级</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医保经办机构可根据当年统筹基金收入及年度住院统筹基金实际发生额等情况，</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结合</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当地经济社会发展水平、参保人数变化、公共卫生事件、重大自然灾害等因素影响，提出DIP付费年度预算总额调整方案，报</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级医保行政部门备案后实施。</w:t>
      </w:r>
    </w:p>
    <w:p w14:paraId="0D31C1CF">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p>
    <w:p w14:paraId="50902F15">
      <w:pPr>
        <w:keepNext w:val="0"/>
        <w:keepLines w:val="0"/>
        <w:pageBreakBefore w:val="0"/>
        <w:widowControl w:val="0"/>
        <w:kinsoku/>
        <w:wordWrap/>
        <w:overflowPunct/>
        <w:topLinePunct w:val="0"/>
        <w:autoSpaceDE w:val="0"/>
        <w:autoSpaceDN w:val="0"/>
        <w:bidi w:val="0"/>
        <w:adjustRightInd w:val="0"/>
        <w:snapToGrid w:val="0"/>
        <w:spacing w:line="576" w:lineRule="exact"/>
        <w:ind w:right="0"/>
        <w:jc w:val="center"/>
        <w:textAlignment w:val="baseline"/>
        <w:outlineLvl w:val="2"/>
        <w:rPr>
          <w:rFonts w:hint="default" w:ascii="黑体" w:hAnsi="黑体" w:eastAsia="黑体" w:cs="黑体"/>
          <w:b w:val="0"/>
          <w:bCs w:val="0"/>
          <w:color w:val="000000" w:themeColor="text1"/>
          <w:spacing w:val="0"/>
          <w:sz w:val="32"/>
          <w:szCs w:val="32"/>
          <w:highlight w:val="none"/>
          <w14:textFill>
            <w14:solidFill>
              <w14:schemeClr w14:val="tx1"/>
            </w14:solidFill>
          </w14:textFill>
        </w:rPr>
      </w:pPr>
      <w:r>
        <w:rPr>
          <w:rFonts w:hint="default" w:ascii="黑体" w:hAnsi="黑体" w:eastAsia="黑体" w:cs="黑体"/>
          <w:b w:val="0"/>
          <w:bCs w:val="0"/>
          <w:color w:val="000000" w:themeColor="text1"/>
          <w:spacing w:val="0"/>
          <w:sz w:val="32"/>
          <w:szCs w:val="32"/>
          <w:highlight w:val="none"/>
          <w14:textFill>
            <w14:solidFill>
              <w14:schemeClr w14:val="tx1"/>
            </w14:solidFill>
          </w14:textFill>
        </w:rPr>
        <w:t>第</w:t>
      </w:r>
      <w:r>
        <w:rPr>
          <w:rFonts w:hint="default" w:ascii="黑体" w:hAnsi="黑体" w:eastAsia="黑体" w:cs="黑体"/>
          <w:b w:val="0"/>
          <w:bCs w:val="0"/>
          <w:color w:val="000000" w:themeColor="text1"/>
          <w:spacing w:val="0"/>
          <w:sz w:val="32"/>
          <w:szCs w:val="32"/>
          <w:highlight w:val="none"/>
          <w:lang w:eastAsia="zh-CN"/>
          <w14:textFill>
            <w14:solidFill>
              <w14:schemeClr w14:val="tx1"/>
            </w14:solidFill>
          </w14:textFill>
        </w:rPr>
        <w:t>四</w:t>
      </w:r>
      <w:r>
        <w:rPr>
          <w:rFonts w:hint="default" w:ascii="黑体" w:hAnsi="黑体" w:eastAsia="黑体" w:cs="黑体"/>
          <w:b w:val="0"/>
          <w:bCs w:val="0"/>
          <w:color w:val="000000" w:themeColor="text1"/>
          <w:spacing w:val="0"/>
          <w:sz w:val="32"/>
          <w:szCs w:val="32"/>
          <w:highlight w:val="none"/>
          <w14:textFill>
            <w14:solidFill>
              <w14:schemeClr w14:val="tx1"/>
            </w14:solidFill>
          </w14:textFill>
        </w:rPr>
        <w:t>章  病种分组</w:t>
      </w:r>
    </w:p>
    <w:p w14:paraId="40B13AC7">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第十</w:t>
      </w:r>
      <w:r>
        <w:rPr>
          <w:rFonts w:hint="default" w:ascii="黑体" w:hAnsi="黑体" w:eastAsia="黑体" w:cs="黑体"/>
          <w:color w:val="000000" w:themeColor="text1"/>
          <w:spacing w:val="0"/>
          <w:sz w:val="32"/>
          <w:szCs w:val="32"/>
          <w:highlight w:val="none"/>
          <w:lang w:eastAsia="zh-CN"/>
          <w14:textFill>
            <w14:solidFill>
              <w14:schemeClr w14:val="tx1"/>
            </w14:solidFill>
          </w14:textFill>
        </w:rPr>
        <w:t>三</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级医保</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经办机构</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按照</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省级</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DIP分组方案要求，</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根据</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本地历史</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三年清算</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数据</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测算形成本地分组，</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确定本地病种目录库，</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原则上不得超过省级分组方案范围</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w:t>
      </w:r>
    </w:p>
    <w:p w14:paraId="6ADDAE94">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第十</w:t>
      </w:r>
      <w:r>
        <w:rPr>
          <w:rFonts w:hint="default" w:ascii="黑体" w:hAnsi="黑体" w:eastAsia="黑体" w:cs="黑体"/>
          <w:color w:val="000000" w:themeColor="text1"/>
          <w:spacing w:val="0"/>
          <w:sz w:val="32"/>
          <w:szCs w:val="32"/>
          <w:highlight w:val="none"/>
          <w:lang w:eastAsia="zh-CN"/>
          <w14:textFill>
            <w14:solidFill>
              <w14:schemeClr w14:val="tx1"/>
            </w14:solidFill>
          </w14:textFill>
        </w:rPr>
        <w:t>四</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DIP成组的核心是根据大数据理论，通过分析真实世界的历史数据，将诊断相同、临床过程相似、资源消耗相近的历史病例，按照“疾病诊断+治疗方式”的组合方式形成病种。</w:t>
      </w:r>
    </w:p>
    <w:p w14:paraId="0D200F87">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1.核心病种。基于可显著区分资源消耗程度的诊断及治疗方式，使用历史病案的医保版疾病诊断编码和手术操作编码，按照“主要疾病诊断十主要手术操作十其他手术操作”的规则聚类组合形成的病种。原则上</w:t>
      </w:r>
      <w:r>
        <w:rPr>
          <w:rFonts w:hint="eastAsia"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全市</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所有</w:t>
      </w:r>
      <w:r>
        <w:rPr>
          <w:rFonts w:hint="eastAsia"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DIP结算</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医疗机构出院病例中达到临界值及以上的病种作为核心病种，作为DIP结算的主要付费单元。</w:t>
      </w:r>
    </w:p>
    <w:p w14:paraId="28996EB1">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2.综合病种。将历史数据穷举聚类形成的病种组合中，病例数在临界值以下的病种，按照“主要疾病诊断+主要手术操作的具体属性”再次进行收敛聚类，作为核心病种的补充。</w:t>
      </w:r>
    </w:p>
    <w:p w14:paraId="16681583">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3.临界值。设置病例数临界值，用于区分DIP核心病种与综合病种。病例数临界值的确定可结合</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全市</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情况设定固定值，也可根据</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全市</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病例数据的规模进行测算，以达到临界值以上的病例数能覆盖一定比例</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如大于等于90%</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来设定。</w:t>
      </w:r>
    </w:p>
    <w:p w14:paraId="7D984CFE">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第十</w:t>
      </w:r>
      <w:r>
        <w:rPr>
          <w:rFonts w:hint="default" w:ascii="黑体" w:hAnsi="黑体" w:eastAsia="黑体" w:cs="黑体"/>
          <w:color w:val="000000" w:themeColor="text1"/>
          <w:spacing w:val="0"/>
          <w:sz w:val="32"/>
          <w:szCs w:val="32"/>
          <w:highlight w:val="none"/>
          <w:lang w:eastAsia="zh-CN"/>
          <w14:textFill>
            <w14:solidFill>
              <w14:schemeClr w14:val="tx1"/>
            </w14:solidFill>
          </w14:textFill>
        </w:rPr>
        <w:t>五</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市级医保部门参考</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省级</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中医优势病种目录，结合本地实际情况</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遴选中医优势明显、诊断明确、疗效确切的病种为</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本地</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中医优势病种，其中治疗费用明显低于相同诊断西医治疗的，可开展按疗效价值付费；治疗费用高于相同诊断西医治疗的，可根据中医治疗占比</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中治率</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情况，合理提高医保支付标准，支持中医药发展。</w:t>
      </w:r>
    </w:p>
    <w:p w14:paraId="0A078216">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第十</w:t>
      </w:r>
      <w:r>
        <w:rPr>
          <w:rFonts w:hint="default" w:ascii="黑体" w:hAnsi="黑体" w:eastAsia="黑体" w:cs="黑体"/>
          <w:color w:val="000000" w:themeColor="text1"/>
          <w:spacing w:val="0"/>
          <w:sz w:val="32"/>
          <w:szCs w:val="32"/>
          <w:highlight w:val="none"/>
          <w:lang w:eastAsia="zh-CN"/>
          <w14:textFill>
            <w14:solidFill>
              <w14:schemeClr w14:val="tx1"/>
            </w14:solidFill>
          </w14:textFill>
        </w:rPr>
        <w:t>六</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市级医保部门参考省级基层病种目录，结合本地实际情况，</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遴选基层医疗机构收治占比较大、医疗费用相对稳定、变异系数较低且适宜基层医疗机构开展的常见病、多发病、慢性病等，设置为基层病种</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不区分医疗机构级别、系数，在</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市域</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内实行同病同标准支付。</w:t>
      </w:r>
    </w:p>
    <w:p w14:paraId="307A02A8">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第十</w:t>
      </w:r>
      <w:r>
        <w:rPr>
          <w:rFonts w:hint="default" w:ascii="黑体" w:hAnsi="黑体" w:eastAsia="黑体" w:cs="黑体"/>
          <w:color w:val="000000" w:themeColor="text1"/>
          <w:spacing w:val="0"/>
          <w:sz w:val="32"/>
          <w:szCs w:val="32"/>
          <w:highlight w:val="none"/>
          <w:lang w:eastAsia="zh-CN"/>
          <w14:textFill>
            <w14:solidFill>
              <w14:schemeClr w14:val="tx1"/>
            </w14:solidFill>
          </w14:textFill>
        </w:rPr>
        <w:t>七</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市级</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医保部门可结合实际将符合条件的日间治疗病种纳入DIP付费管理。包括日间手术病种、恶性肿瘤门诊放化疗病种</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、中医日间病房病种</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等</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p>
    <w:p w14:paraId="3F1B5C8D">
      <w:pPr>
        <w:keepNext w:val="0"/>
        <w:keepLines w:val="0"/>
        <w:pageBreakBefore w:val="0"/>
        <w:widowControl w:val="0"/>
        <w:kinsoku/>
        <w:wordWrap/>
        <w:overflowPunct/>
        <w:topLinePunct w:val="0"/>
        <w:autoSpaceDE w:val="0"/>
        <w:autoSpaceDN w:val="0"/>
        <w:bidi w:val="0"/>
        <w:adjustRightInd w:val="0"/>
        <w:snapToGrid w:val="0"/>
        <w:spacing w:line="576" w:lineRule="exact"/>
        <w:ind w:right="0"/>
        <w:jc w:val="center"/>
        <w:textAlignment w:val="baseline"/>
        <w:outlineLvl w:val="2"/>
        <w:rPr>
          <w:rFonts w:hint="default" w:ascii="黑体" w:hAnsi="黑体" w:eastAsia="黑体" w:cs="黑体"/>
          <w:b w:val="0"/>
          <w:bCs w:val="0"/>
          <w:color w:val="000000" w:themeColor="text1"/>
          <w:spacing w:val="0"/>
          <w:sz w:val="32"/>
          <w:szCs w:val="32"/>
          <w:highlight w:val="none"/>
          <w14:textFill>
            <w14:solidFill>
              <w14:schemeClr w14:val="tx1"/>
            </w14:solidFill>
          </w14:textFill>
        </w:rPr>
      </w:pPr>
    </w:p>
    <w:p w14:paraId="20BD9E54">
      <w:pPr>
        <w:keepNext w:val="0"/>
        <w:keepLines w:val="0"/>
        <w:pageBreakBefore w:val="0"/>
        <w:widowControl w:val="0"/>
        <w:kinsoku/>
        <w:wordWrap/>
        <w:overflowPunct/>
        <w:topLinePunct w:val="0"/>
        <w:autoSpaceDE w:val="0"/>
        <w:autoSpaceDN w:val="0"/>
        <w:bidi w:val="0"/>
        <w:adjustRightInd w:val="0"/>
        <w:snapToGrid w:val="0"/>
        <w:spacing w:line="576" w:lineRule="exact"/>
        <w:ind w:right="0"/>
        <w:jc w:val="center"/>
        <w:textAlignment w:val="baseline"/>
        <w:outlineLvl w:val="2"/>
        <w:rPr>
          <w:rFonts w:hint="default" w:ascii="黑体" w:hAnsi="黑体" w:eastAsia="黑体" w:cs="黑体"/>
          <w:b w:val="0"/>
          <w:bCs w:val="0"/>
          <w:color w:val="000000" w:themeColor="text1"/>
          <w:spacing w:val="0"/>
          <w:sz w:val="32"/>
          <w:szCs w:val="32"/>
          <w:highlight w:val="none"/>
          <w14:textFill>
            <w14:solidFill>
              <w14:schemeClr w14:val="tx1"/>
            </w14:solidFill>
          </w14:textFill>
        </w:rPr>
      </w:pPr>
      <w:r>
        <w:rPr>
          <w:rFonts w:hint="default" w:ascii="黑体" w:hAnsi="黑体" w:eastAsia="黑体" w:cs="黑体"/>
          <w:b w:val="0"/>
          <w:bCs w:val="0"/>
          <w:color w:val="000000" w:themeColor="text1"/>
          <w:spacing w:val="0"/>
          <w:sz w:val="32"/>
          <w:szCs w:val="32"/>
          <w:highlight w:val="none"/>
          <w14:textFill>
            <w14:solidFill>
              <w14:schemeClr w14:val="tx1"/>
            </w14:solidFill>
          </w14:textFill>
        </w:rPr>
        <w:t>第</w:t>
      </w:r>
      <w:r>
        <w:rPr>
          <w:rFonts w:hint="default" w:ascii="黑体" w:hAnsi="黑体" w:eastAsia="黑体" w:cs="黑体"/>
          <w:b w:val="0"/>
          <w:bCs w:val="0"/>
          <w:color w:val="000000" w:themeColor="text1"/>
          <w:spacing w:val="0"/>
          <w:sz w:val="32"/>
          <w:szCs w:val="32"/>
          <w:highlight w:val="none"/>
          <w:lang w:eastAsia="zh-CN"/>
          <w14:textFill>
            <w14:solidFill>
              <w14:schemeClr w14:val="tx1"/>
            </w14:solidFill>
          </w14:textFill>
        </w:rPr>
        <w:t>五</w:t>
      </w:r>
      <w:r>
        <w:rPr>
          <w:rFonts w:hint="default" w:ascii="黑体" w:hAnsi="黑体" w:eastAsia="黑体" w:cs="黑体"/>
          <w:b w:val="0"/>
          <w:bCs w:val="0"/>
          <w:color w:val="000000" w:themeColor="text1"/>
          <w:spacing w:val="0"/>
          <w:sz w:val="32"/>
          <w:szCs w:val="32"/>
          <w:highlight w:val="none"/>
          <w14:textFill>
            <w14:solidFill>
              <w14:schemeClr w14:val="tx1"/>
            </w14:solidFill>
          </w14:textFill>
        </w:rPr>
        <w:t>章  病种支付</w:t>
      </w:r>
    </w:p>
    <w:p w14:paraId="7EAC7549">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第十</w:t>
      </w:r>
      <w:r>
        <w:rPr>
          <w:rFonts w:hint="default" w:ascii="黑体" w:hAnsi="黑体" w:eastAsia="黑体" w:cs="黑体"/>
          <w:color w:val="000000" w:themeColor="text1"/>
          <w:spacing w:val="0"/>
          <w:sz w:val="32"/>
          <w:szCs w:val="32"/>
          <w:highlight w:val="none"/>
          <w:lang w:val="en-US" w:eastAsia="zh-CN"/>
          <w14:textFill>
            <w14:solidFill>
              <w14:schemeClr w14:val="tx1"/>
            </w14:solidFill>
          </w14:textFill>
        </w:rPr>
        <w:t>八</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根据DIP病种的次均费用与所有病例均费的比值确定该DIP病种的分值。</w:t>
      </w:r>
    </w:p>
    <w:p w14:paraId="7DDDEDD8">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eastAsia" w:ascii="Times New Roman" w:hAnsi="Times New Roman" w:eastAsia="仿宋_GB2312" w:cs="Times New Roman"/>
          <w:color w:val="auto"/>
          <w:spacing w:val="0"/>
          <w:sz w:val="32"/>
          <w:szCs w:val="32"/>
          <w:highlight w:val="none"/>
          <w:lang w:eastAsia="zh-CN"/>
        </w:rPr>
      </w:pPr>
      <w:r>
        <w:rPr>
          <w:rFonts w:hint="default" w:ascii="黑体" w:hAnsi="黑体" w:eastAsia="黑体" w:cs="黑体"/>
          <w:color w:val="auto"/>
          <w:spacing w:val="0"/>
          <w:sz w:val="32"/>
          <w:szCs w:val="32"/>
          <w:highlight w:val="none"/>
        </w:rPr>
        <w:t>第</w:t>
      </w:r>
      <w:r>
        <w:rPr>
          <w:rFonts w:hint="default" w:ascii="黑体" w:hAnsi="黑体" w:eastAsia="黑体" w:cs="黑体"/>
          <w:color w:val="auto"/>
          <w:spacing w:val="0"/>
          <w:sz w:val="32"/>
          <w:szCs w:val="32"/>
          <w:highlight w:val="none"/>
          <w:lang w:val="en-US" w:eastAsia="zh-CN"/>
        </w:rPr>
        <w:t>十九</w:t>
      </w:r>
      <w:r>
        <w:rPr>
          <w:rFonts w:hint="default" w:ascii="黑体" w:hAnsi="黑体" w:eastAsia="黑体" w:cs="黑体"/>
          <w:color w:val="auto"/>
          <w:spacing w:val="0"/>
          <w:sz w:val="32"/>
          <w:szCs w:val="32"/>
          <w:highlight w:val="none"/>
        </w:rPr>
        <w:t>条</w:t>
      </w:r>
      <w:r>
        <w:rPr>
          <w:rFonts w:hint="default" w:ascii="Times New Roman" w:hAnsi="Times New Roman" w:eastAsia="仿宋_GB2312" w:cs="Times New Roman"/>
          <w:b/>
          <w:bCs/>
          <w:color w:val="auto"/>
          <w:spacing w:val="0"/>
          <w:sz w:val="32"/>
          <w:szCs w:val="32"/>
          <w:highlight w:val="none"/>
        </w:rPr>
        <w:t xml:space="preserve"> </w:t>
      </w:r>
      <w:r>
        <w:rPr>
          <w:rFonts w:hint="default" w:ascii="Times New Roman" w:hAnsi="Times New Roman" w:eastAsia="仿宋_GB2312" w:cs="Times New Roman"/>
          <w:color w:val="auto"/>
          <w:spacing w:val="0"/>
          <w:sz w:val="32"/>
          <w:szCs w:val="32"/>
          <w:highlight w:val="none"/>
        </w:rPr>
        <w:t xml:space="preserve"> </w:t>
      </w:r>
      <w:r>
        <w:rPr>
          <w:rFonts w:hint="default" w:ascii="Times New Roman" w:hAnsi="Times New Roman" w:eastAsia="仿宋_GB2312" w:cs="Times New Roman"/>
          <w:color w:val="auto"/>
          <w:spacing w:val="0"/>
          <w:sz w:val="32"/>
          <w:szCs w:val="32"/>
          <w:highlight w:val="none"/>
          <w:lang w:eastAsia="zh-CN"/>
        </w:rPr>
        <w:t>市级</w:t>
      </w:r>
      <w:r>
        <w:rPr>
          <w:rFonts w:hint="default" w:ascii="Times New Roman" w:hAnsi="Times New Roman" w:eastAsia="仿宋_GB2312" w:cs="Times New Roman"/>
          <w:color w:val="auto"/>
          <w:spacing w:val="0"/>
          <w:sz w:val="32"/>
          <w:szCs w:val="32"/>
          <w:highlight w:val="none"/>
        </w:rPr>
        <w:t>医保部门根据当年DIP付费预算总额</w:t>
      </w:r>
      <w:r>
        <w:rPr>
          <w:rFonts w:hint="eastAsia"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预测当年住院总费用和住院人次等，计算DIP总分值，将当年住院总费用分配到每一分值上，分别测算DIP点值。</w:t>
      </w:r>
    </w:p>
    <w:p w14:paraId="2CF4221A">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auto"/>
          <w:spacing w:val="0"/>
          <w:sz w:val="32"/>
          <w:szCs w:val="32"/>
          <w:highlight w:val="none"/>
        </w:rPr>
      </w:pPr>
      <w:r>
        <w:rPr>
          <w:rFonts w:hint="default" w:ascii="黑体" w:hAnsi="黑体" w:eastAsia="黑体" w:cs="黑体"/>
          <w:color w:val="auto"/>
          <w:spacing w:val="0"/>
          <w:sz w:val="32"/>
          <w:szCs w:val="32"/>
          <w:highlight w:val="none"/>
        </w:rPr>
        <w:t>第</w:t>
      </w:r>
      <w:r>
        <w:rPr>
          <w:rFonts w:hint="default" w:ascii="黑体" w:hAnsi="黑体" w:eastAsia="黑体" w:cs="黑体"/>
          <w:color w:val="auto"/>
          <w:spacing w:val="0"/>
          <w:sz w:val="32"/>
          <w:szCs w:val="32"/>
          <w:highlight w:val="none"/>
          <w:lang w:eastAsia="zh-CN"/>
        </w:rPr>
        <w:t>二十</w:t>
      </w:r>
      <w:r>
        <w:rPr>
          <w:rFonts w:hint="default" w:ascii="黑体" w:hAnsi="黑体" w:eastAsia="黑体" w:cs="黑体"/>
          <w:color w:val="auto"/>
          <w:spacing w:val="0"/>
          <w:sz w:val="32"/>
          <w:szCs w:val="32"/>
          <w:highlight w:val="none"/>
        </w:rPr>
        <w:t>条</w:t>
      </w:r>
      <w:r>
        <w:rPr>
          <w:rFonts w:hint="default" w:ascii="Times New Roman" w:hAnsi="Times New Roman" w:eastAsia="仿宋_GB2312" w:cs="Times New Roman"/>
          <w:color w:val="auto"/>
          <w:spacing w:val="0"/>
          <w:sz w:val="32"/>
          <w:szCs w:val="32"/>
          <w:highlight w:val="none"/>
        </w:rPr>
        <w:t xml:space="preserve">  </w:t>
      </w:r>
      <w:r>
        <w:rPr>
          <w:rFonts w:hint="default" w:ascii="Times New Roman" w:hAnsi="Times New Roman" w:eastAsia="仿宋_GB2312" w:cs="Times New Roman"/>
          <w:color w:val="auto"/>
          <w:spacing w:val="0"/>
          <w:sz w:val="32"/>
          <w:szCs w:val="32"/>
          <w:highlight w:val="none"/>
          <w:lang w:eastAsia="zh-CN"/>
        </w:rPr>
        <w:t>市级</w:t>
      </w:r>
      <w:r>
        <w:rPr>
          <w:rFonts w:hint="default" w:ascii="Times New Roman" w:hAnsi="Times New Roman" w:eastAsia="仿宋_GB2312" w:cs="Times New Roman"/>
          <w:color w:val="auto"/>
          <w:spacing w:val="0"/>
          <w:sz w:val="32"/>
          <w:szCs w:val="32"/>
          <w:highlight w:val="none"/>
        </w:rPr>
        <w:t>医保部门通过设置DIP付费系数，体现各类型医疗机构之间</w:t>
      </w:r>
      <w:r>
        <w:rPr>
          <w:rFonts w:hint="eastAsia" w:ascii="Times New Roman" w:hAnsi="Times New Roman" w:eastAsia="仿宋_GB2312" w:cs="Times New Roman"/>
          <w:color w:val="auto"/>
          <w:spacing w:val="0"/>
          <w:sz w:val="32"/>
          <w:szCs w:val="32"/>
          <w:highlight w:val="none"/>
          <w:lang w:eastAsia="zh-CN"/>
        </w:rPr>
        <w:t>功能定位和</w:t>
      </w:r>
      <w:r>
        <w:rPr>
          <w:rFonts w:hint="default" w:ascii="Times New Roman" w:hAnsi="Times New Roman" w:eastAsia="仿宋_GB2312" w:cs="Times New Roman"/>
          <w:color w:val="auto"/>
          <w:spacing w:val="0"/>
          <w:sz w:val="32"/>
          <w:szCs w:val="32"/>
          <w:highlight w:val="none"/>
        </w:rPr>
        <w:t>治疗同种疾病所需次均住院费用的客观差异。可采用按医疗机构等级与类别，并结合多因素综合考虑设置。</w:t>
      </w:r>
    </w:p>
    <w:p w14:paraId="068A9952">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FF0000"/>
          <w:spacing w:val="0"/>
          <w:sz w:val="32"/>
          <w:szCs w:val="32"/>
          <w:highlight w:val="none"/>
          <w:lang w:val="en-US" w:eastAsia="zh-CN"/>
        </w:rPr>
      </w:pPr>
      <w:r>
        <w:rPr>
          <w:rFonts w:hint="eastAsia" w:ascii="Times New Roman" w:hAnsi="Times New Roman" w:eastAsia="仿宋_GB2312" w:cs="Times New Roman"/>
          <w:color w:val="auto"/>
          <w:spacing w:val="0"/>
          <w:sz w:val="32"/>
          <w:szCs w:val="32"/>
          <w:highlight w:val="none"/>
          <w:lang w:val="en-US" w:eastAsia="zh-CN"/>
        </w:rPr>
        <w:t>医疗机构付费系数=医疗机构等级系数+医疗机构调节系数</w:t>
      </w:r>
    </w:p>
    <w:p w14:paraId="12B8AEA4">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b w:val="0"/>
          <w:bCs w:val="0"/>
          <w:color w:val="auto"/>
          <w:spacing w:val="0"/>
          <w:sz w:val="32"/>
          <w:szCs w:val="32"/>
          <w:highlight w:val="none"/>
        </w:rPr>
      </w:pPr>
      <w:r>
        <w:rPr>
          <w:rFonts w:hint="eastAsia" w:ascii="Times New Roman" w:hAnsi="Times New Roman" w:eastAsia="仿宋_GB2312" w:cs="Times New Roman"/>
          <w:b w:val="0"/>
          <w:bCs w:val="0"/>
          <w:color w:val="auto"/>
          <w:spacing w:val="0"/>
          <w:sz w:val="32"/>
          <w:szCs w:val="32"/>
          <w:highlight w:val="none"/>
          <w:lang w:val="en-US" w:eastAsia="zh-CN"/>
        </w:rPr>
        <w:t>1.</w:t>
      </w:r>
      <w:r>
        <w:rPr>
          <w:rFonts w:hint="default" w:ascii="Times New Roman" w:hAnsi="Times New Roman" w:eastAsia="仿宋_GB2312" w:cs="Times New Roman"/>
          <w:b w:val="0"/>
          <w:bCs w:val="0"/>
          <w:color w:val="auto"/>
          <w:spacing w:val="0"/>
          <w:sz w:val="32"/>
          <w:szCs w:val="32"/>
          <w:highlight w:val="none"/>
        </w:rPr>
        <w:t>医疗机构等级系数。</w:t>
      </w:r>
    </w:p>
    <w:p w14:paraId="05AAE2B8">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b w:val="0"/>
          <w:bCs w:val="0"/>
          <w:color w:val="auto"/>
          <w:spacing w:val="0"/>
          <w:sz w:val="32"/>
          <w:szCs w:val="32"/>
          <w:highlight w:val="none"/>
        </w:rPr>
      </w:pPr>
      <w:r>
        <w:rPr>
          <w:rFonts w:hint="default" w:ascii="Times New Roman" w:hAnsi="Times New Roman" w:eastAsia="仿宋_GB2312" w:cs="Times New Roman"/>
          <w:b w:val="0"/>
          <w:bCs w:val="0"/>
          <w:color w:val="auto"/>
          <w:spacing w:val="0"/>
          <w:sz w:val="32"/>
          <w:szCs w:val="32"/>
          <w:highlight w:val="none"/>
        </w:rPr>
        <w:t>即综合考虑各医疗机构级别、类型、医疗费用的客观差异，以及医保部门对医疗机构绩效考核情况等综合因素，将医疗机构分为不同等级类型，计算不同类型医疗机构系数。</w:t>
      </w:r>
    </w:p>
    <w:p w14:paraId="188D2661">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b w:val="0"/>
          <w:bCs w:val="0"/>
          <w:color w:val="000000" w:themeColor="text1"/>
          <w:spacing w:val="0"/>
          <w:sz w:val="32"/>
          <w:szCs w:val="32"/>
          <w:highlight w:val="none"/>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14:textFill>
            <w14:solidFill>
              <w14:schemeClr w14:val="tx1"/>
            </w14:solidFill>
          </w14:textFill>
        </w:rPr>
        <w:t>2.医疗机构调节系数。</w:t>
      </w:r>
    </w:p>
    <w:p w14:paraId="08A68B7B">
      <w:pPr>
        <w:pStyle w:val="2"/>
        <w:widowControl w:val="0"/>
        <w:kinsoku/>
        <w:spacing w:line="576" w:lineRule="exact"/>
        <w:ind w:firstLine="640" w:firstLineChars="200"/>
        <w:jc w:val="both"/>
        <w:rPr>
          <w:rFonts w:hint="default" w:ascii="Times New Roman" w:hAnsi="Times New Roman" w:eastAsia="仿宋_GB2312" w:cs="Times New Roman"/>
          <w:b w:val="0"/>
          <w:bCs w:val="0"/>
          <w:color w:val="000000" w:themeColor="text1"/>
          <w:spacing w:val="0"/>
          <w:sz w:val="32"/>
          <w:szCs w:val="32"/>
          <w:highlight w:val="none"/>
          <w:lang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14:textFill>
            <w14:solidFill>
              <w14:schemeClr w14:val="tx1"/>
            </w14:solidFill>
          </w14:textFill>
        </w:rPr>
        <w:t>综合考虑不同医疗机构在</w:t>
      </w:r>
      <w:r>
        <w:rPr>
          <w:rFonts w:hint="default" w:ascii="Times New Roman" w:hAnsi="Times New Roman" w:eastAsia="仿宋_GB2312" w:cs="Times New Roman"/>
          <w:b w:val="0"/>
          <w:bCs w:val="0"/>
          <w:color w:val="000000" w:themeColor="text1"/>
          <w:spacing w:val="0"/>
          <w:sz w:val="32"/>
          <w:szCs w:val="32"/>
          <w:highlight w:val="none"/>
          <w:lang w:val="en-US" w:eastAsia="zh-CN"/>
          <w14:textFill>
            <w14:solidFill>
              <w14:schemeClr w14:val="tx1"/>
            </w14:solidFill>
          </w14:textFill>
        </w:rPr>
        <w:t>提供医疗服务过程中所消耗的医疗资源、DIP改革重点运行指标</w:t>
      </w:r>
      <w:r>
        <w:rPr>
          <w:rFonts w:hint="default" w:ascii="Times New Roman" w:hAnsi="Times New Roman" w:eastAsia="仿宋_GB2312" w:cs="Times New Roman"/>
          <w:b w:val="0"/>
          <w:bCs w:val="0"/>
          <w:color w:val="000000" w:themeColor="text1"/>
          <w:spacing w:val="0"/>
          <w:sz w:val="32"/>
          <w:szCs w:val="32"/>
          <w:highlight w:val="none"/>
          <w14:textFill>
            <w14:solidFill>
              <w14:schemeClr w14:val="tx1"/>
            </w14:solidFill>
          </w14:textFill>
        </w:rPr>
        <w:t>等方面存在的差异性，设置调节系数。结合医疗机构的医疗水平、专科特色</w:t>
      </w:r>
      <w:r>
        <w:rPr>
          <w:rFonts w:hint="eastAsia" w:ascii="Times New Roman" w:hAnsi="Times New Roman" w:eastAsia="仿宋_GB2312" w:cs="Times New Roman"/>
          <w:b w:val="0"/>
          <w:bCs w:val="0"/>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sz w:val="32"/>
          <w:szCs w:val="32"/>
          <w:highlight w:val="none"/>
          <w14:textFill>
            <w14:solidFill>
              <w14:schemeClr w14:val="tx1"/>
            </w14:solidFill>
          </w14:textFill>
        </w:rPr>
        <w:t>如</w:t>
      </w:r>
      <w:r>
        <w:rPr>
          <w:rFonts w:hint="default" w:ascii="Times New Roman" w:hAnsi="Times New Roman" w:eastAsia="仿宋_GB2312" w:cs="Times New Roman"/>
          <w:b w:val="0"/>
          <w:bCs w:val="0"/>
          <w:color w:val="000000" w:themeColor="text1"/>
          <w:spacing w:val="0"/>
          <w:sz w:val="32"/>
          <w:szCs w:val="32"/>
          <w:highlight w:val="none"/>
          <w:lang w:val="en-US" w:eastAsia="zh-CN"/>
          <w14:textFill>
            <w14:solidFill>
              <w14:schemeClr w14:val="tx1"/>
            </w14:solidFill>
          </w14:textFill>
        </w:rPr>
        <w:t>中医、骨科</w:t>
      </w:r>
      <w:r>
        <w:rPr>
          <w:rFonts w:hint="default" w:ascii="Times New Roman" w:hAnsi="Times New Roman" w:eastAsia="仿宋_GB2312" w:cs="Times New Roman"/>
          <w:b w:val="0"/>
          <w:bCs w:val="0"/>
          <w:color w:val="000000" w:themeColor="text1"/>
          <w:spacing w:val="0"/>
          <w:sz w:val="32"/>
          <w:szCs w:val="32"/>
          <w:highlight w:val="none"/>
          <w14:textFill>
            <w14:solidFill>
              <w14:schemeClr w14:val="tx1"/>
            </w14:solidFill>
          </w14:textFill>
        </w:rPr>
        <w:t>等</w:t>
      </w:r>
      <w:r>
        <w:rPr>
          <w:rFonts w:hint="eastAsia" w:ascii="Times New Roman" w:hAnsi="Times New Roman" w:eastAsia="仿宋_GB2312" w:cs="Times New Roman"/>
          <w:b w:val="0"/>
          <w:bCs w:val="0"/>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sz w:val="32"/>
          <w:szCs w:val="32"/>
          <w:highlight w:val="none"/>
          <w14:textFill>
            <w14:solidFill>
              <w14:schemeClr w14:val="tx1"/>
            </w14:solidFill>
          </w14:textFill>
        </w:rPr>
        <w:t>、病种结构</w:t>
      </w:r>
      <w:r>
        <w:rPr>
          <w:rFonts w:hint="eastAsia" w:ascii="Times New Roman" w:hAnsi="Times New Roman" w:eastAsia="仿宋_GB2312" w:cs="Times New Roman"/>
          <w:b w:val="0"/>
          <w:bCs w:val="0"/>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sz w:val="32"/>
          <w:szCs w:val="32"/>
          <w:highlight w:val="none"/>
          <w14:textFill>
            <w14:solidFill>
              <w14:schemeClr w14:val="tx1"/>
            </w14:solidFill>
          </w14:textFill>
        </w:rPr>
        <w:t>如CMI值</w:t>
      </w:r>
      <w:r>
        <w:rPr>
          <w:rFonts w:hint="default" w:ascii="Times New Roman" w:hAnsi="Times New Roman" w:eastAsia="仿宋_GB2312" w:cs="Times New Roman"/>
          <w:b w:val="0"/>
          <w:bCs w:val="0"/>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sz w:val="32"/>
          <w:szCs w:val="32"/>
          <w:highlight w:val="none"/>
          <w:lang w:val="en-US" w:eastAsia="zh-CN"/>
          <w14:textFill>
            <w14:solidFill>
              <w14:schemeClr w14:val="tx1"/>
            </w14:solidFill>
          </w14:textFill>
        </w:rPr>
        <w:t>核心病种占比、基层病种占比等</w:t>
      </w:r>
      <w:r>
        <w:rPr>
          <w:rFonts w:hint="eastAsia" w:ascii="Times New Roman" w:hAnsi="Times New Roman" w:eastAsia="仿宋_GB2312" w:cs="Times New Roman"/>
          <w:b w:val="0"/>
          <w:bCs w:val="0"/>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sz w:val="32"/>
          <w:szCs w:val="32"/>
          <w:highlight w:val="none"/>
          <w14:textFill>
            <w14:solidFill>
              <w14:schemeClr w14:val="tx1"/>
            </w14:solidFill>
          </w14:textFill>
        </w:rPr>
        <w:t>等因素，通过对多维管理指标进行加权计算，确定医疗机构调节系数，引导医疗机构回归功能定位，从“多劳多得”向“优劳优得”转变。</w:t>
      </w:r>
    </w:p>
    <w:p w14:paraId="288A896E">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w:t>
      </w:r>
      <w:r>
        <w:rPr>
          <w:rFonts w:hint="default" w:ascii="黑体" w:hAnsi="黑体" w:eastAsia="黑体" w:cs="黑体"/>
          <w:color w:val="000000" w:themeColor="text1"/>
          <w:spacing w:val="0"/>
          <w:sz w:val="32"/>
          <w:szCs w:val="32"/>
          <w:highlight w:val="none"/>
          <w:lang w:eastAsia="zh-CN"/>
          <w14:textFill>
            <w14:solidFill>
              <w14:schemeClr w14:val="tx1"/>
            </w14:solidFill>
          </w14:textFill>
        </w:rPr>
        <w:t>二十</w:t>
      </w:r>
      <w:r>
        <w:rPr>
          <w:rFonts w:hint="eastAsia" w:ascii="黑体" w:hAnsi="黑体" w:eastAsia="黑体" w:cs="黑体"/>
          <w:color w:val="000000" w:themeColor="text1"/>
          <w:spacing w:val="0"/>
          <w:sz w:val="32"/>
          <w:szCs w:val="32"/>
          <w:highlight w:val="none"/>
          <w:lang w:val="en-US" w:eastAsia="zh-CN"/>
          <w14:textFill>
            <w14:solidFill>
              <w14:schemeClr w14:val="tx1"/>
            </w14:solidFill>
          </w14:textFill>
        </w:rPr>
        <w:t>一</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b/>
          <w:bCs/>
          <w:color w:val="000000" w:themeColor="text1"/>
          <w:spacing w:val="0"/>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市级医保部门</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针对病种内导致费用存在明显差异的合并症指数</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CCI</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分型、疾病严重程度、年龄特征、重症监护等影响因素，遵循必要、客观、尊重临床实际的原则，设置辅助分型应用类型，</w:t>
      </w:r>
      <w:r>
        <w:rPr>
          <w:rFonts w:hint="default" w:ascii="Times New Roman" w:hAnsi="Times New Roman" w:eastAsia="仿宋_GB2312" w:cs="Times New Roman"/>
          <w:color w:val="auto"/>
          <w:spacing w:val="0"/>
          <w:sz w:val="32"/>
          <w:szCs w:val="32"/>
          <w:highlight w:val="none"/>
        </w:rPr>
        <w:t>测算辅助分型调节系数，</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对受影响的病种进行细化，明确一定的应用条件，最大程度地契合成本，对病种分值进行校正。</w:t>
      </w:r>
    </w:p>
    <w:p w14:paraId="39F7B4C9">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eastAsia" w:ascii="Times New Roman" w:hAnsi="Times New Roman" w:eastAsia="仿宋_GB2312" w:cs="Times New Roman"/>
          <w:color w:val="auto"/>
          <w:spacing w:val="0"/>
          <w:sz w:val="32"/>
          <w:szCs w:val="32"/>
          <w:highlight w:val="none"/>
          <w:lang w:eastAsia="zh-CN"/>
        </w:rPr>
      </w:pPr>
      <w:r>
        <w:rPr>
          <w:rFonts w:hint="default" w:ascii="黑体" w:hAnsi="黑体" w:eastAsia="黑体" w:cs="黑体"/>
          <w:color w:val="auto"/>
          <w:spacing w:val="0"/>
          <w:sz w:val="32"/>
          <w:szCs w:val="32"/>
          <w:highlight w:val="none"/>
        </w:rPr>
        <w:t>第二十</w:t>
      </w:r>
      <w:r>
        <w:rPr>
          <w:rFonts w:hint="eastAsia" w:ascii="黑体" w:hAnsi="黑体" w:eastAsia="黑体" w:cs="黑体"/>
          <w:color w:val="auto"/>
          <w:spacing w:val="0"/>
          <w:sz w:val="32"/>
          <w:szCs w:val="32"/>
          <w:highlight w:val="none"/>
          <w:lang w:val="en-US" w:eastAsia="zh-CN"/>
        </w:rPr>
        <w:t>二</w:t>
      </w:r>
      <w:r>
        <w:rPr>
          <w:rFonts w:hint="default" w:ascii="黑体" w:hAnsi="黑体" w:eastAsia="黑体" w:cs="黑体"/>
          <w:color w:val="auto"/>
          <w:spacing w:val="0"/>
          <w:sz w:val="32"/>
          <w:szCs w:val="32"/>
          <w:highlight w:val="none"/>
        </w:rPr>
        <w:t>条</w:t>
      </w:r>
      <w:r>
        <w:rPr>
          <w:rFonts w:hint="default" w:ascii="Times New Roman" w:hAnsi="Times New Roman" w:eastAsia="仿宋_GB2312" w:cs="Times New Roman"/>
          <w:color w:val="auto"/>
          <w:spacing w:val="0"/>
          <w:sz w:val="32"/>
          <w:szCs w:val="32"/>
          <w:highlight w:val="none"/>
        </w:rPr>
        <w:t xml:space="preserve">  </w:t>
      </w:r>
      <w:r>
        <w:rPr>
          <w:rFonts w:hint="default" w:ascii="Times New Roman" w:hAnsi="Times New Roman" w:eastAsia="仿宋_GB2312" w:cs="Times New Roman"/>
          <w:color w:val="auto"/>
          <w:spacing w:val="0"/>
          <w:sz w:val="32"/>
          <w:szCs w:val="32"/>
          <w:highlight w:val="none"/>
          <w:lang w:eastAsia="zh-CN"/>
        </w:rPr>
        <w:t>市级</w:t>
      </w:r>
      <w:r>
        <w:rPr>
          <w:rFonts w:hint="default" w:ascii="Times New Roman" w:hAnsi="Times New Roman" w:eastAsia="仿宋_GB2312" w:cs="Times New Roman"/>
          <w:color w:val="auto"/>
          <w:spacing w:val="0"/>
          <w:sz w:val="32"/>
          <w:szCs w:val="32"/>
          <w:highlight w:val="none"/>
        </w:rPr>
        <w:t>医保部门可结合实际建立基于大数据的费用异常病例筛选机制，并对支付标准进行调整。按中医优势病种疗效价值付费的病例不纳入费用异常病例范围。</w:t>
      </w:r>
      <w:r>
        <w:rPr>
          <w:rFonts w:hint="eastAsia" w:ascii="Times New Roman" w:hAnsi="Times New Roman" w:eastAsia="仿宋_GB2312" w:cs="Times New Roman"/>
          <w:color w:val="auto"/>
          <w:spacing w:val="0"/>
          <w:sz w:val="32"/>
          <w:szCs w:val="32"/>
          <w:highlight w:val="none"/>
          <w:lang w:eastAsia="zh-CN"/>
        </w:rPr>
        <w:t>（</w:t>
      </w:r>
      <w:r>
        <w:rPr>
          <w:rFonts w:hint="eastAsia" w:ascii="Times New Roman" w:hAnsi="Times New Roman" w:eastAsia="仿宋_GB2312" w:cs="Times New Roman"/>
          <w:color w:val="auto"/>
          <w:spacing w:val="0"/>
          <w:sz w:val="32"/>
          <w:szCs w:val="32"/>
          <w:highlight w:val="none"/>
          <w:lang w:val="en-US" w:eastAsia="zh-CN"/>
        </w:rPr>
        <w:t>50%以下计算方法和2倍以上计算方法</w:t>
      </w:r>
      <w:r>
        <w:rPr>
          <w:rFonts w:hint="eastAsia" w:ascii="Times New Roman" w:hAnsi="Times New Roman" w:eastAsia="仿宋_GB2312" w:cs="Times New Roman"/>
          <w:color w:val="auto"/>
          <w:spacing w:val="0"/>
          <w:sz w:val="32"/>
          <w:szCs w:val="32"/>
          <w:highlight w:val="none"/>
          <w:lang w:eastAsia="zh-CN"/>
        </w:rPr>
        <w:t>）</w:t>
      </w:r>
    </w:p>
    <w:p w14:paraId="1A9F701C">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lang w:val="en-US" w:eastAsia="zh-CN"/>
        </w:rPr>
        <w:t>1</w:t>
      </w:r>
      <w:r>
        <w:rPr>
          <w:rFonts w:hint="default" w:ascii="Times New Roman" w:hAnsi="Times New Roman" w:eastAsia="仿宋_GB2312" w:cs="Times New Roman"/>
          <w:color w:val="auto"/>
          <w:spacing w:val="0"/>
          <w:sz w:val="32"/>
          <w:szCs w:val="32"/>
          <w:highlight w:val="none"/>
        </w:rPr>
        <w:t>.DIP费用超高病例</w:t>
      </w:r>
    </w:p>
    <w:p w14:paraId="6549DFB2">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是指住院总费用≥本病种支付标准2倍的病例。</w:t>
      </w:r>
    </w:p>
    <w:p w14:paraId="36CF003E">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Times New Roman" w:hAnsi="Times New Roman" w:eastAsia="仿宋_GB2312" w:cs="Times New Roman"/>
          <w:color w:val="auto"/>
          <w:spacing w:val="0"/>
          <w:sz w:val="32"/>
          <w:szCs w:val="32"/>
          <w:highlight w:val="none"/>
          <w:lang w:eastAsia="zh-CN"/>
        </w:rPr>
      </w:pPr>
      <w:r>
        <w:rPr>
          <w:rFonts w:hint="eastAsia" w:ascii="Times New Roman" w:hAnsi="Times New Roman" w:eastAsia="仿宋_GB2312" w:cs="Times New Roman"/>
          <w:color w:val="auto"/>
          <w:spacing w:val="0"/>
          <w:sz w:val="32"/>
          <w:szCs w:val="32"/>
          <w:highlight w:val="none"/>
          <w:lang w:eastAsia="zh-CN"/>
        </w:rPr>
        <w:t>计算公式为：</w:t>
      </w:r>
    </w:p>
    <w:p w14:paraId="0C82356A">
      <w:pPr>
        <w:pStyle w:val="2"/>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Times New Roman" w:hAnsi="Times New Roman" w:eastAsia="仿宋_GB2312" w:cs="Times New Roman"/>
          <w:color w:val="auto"/>
          <w:spacing w:val="0"/>
          <w:sz w:val="32"/>
          <w:szCs w:val="32"/>
          <w:highlight w:val="none"/>
          <w:lang w:val="en-US" w:eastAsia="zh-CN"/>
        </w:rPr>
      </w:pPr>
      <w:r>
        <w:rPr>
          <w:rFonts w:hint="eastAsia" w:ascii="Times New Roman" w:hAnsi="Times New Roman" w:eastAsia="仿宋_GB2312" w:cs="Times New Roman"/>
          <w:color w:val="auto"/>
          <w:spacing w:val="0"/>
          <w:sz w:val="32"/>
          <w:szCs w:val="32"/>
          <w:highlight w:val="none"/>
          <w:lang w:eastAsia="zh-CN"/>
        </w:rPr>
        <w:t>费用超高病例分值</w:t>
      </w:r>
      <w:r>
        <w:rPr>
          <w:rFonts w:hint="eastAsia" w:ascii="Times New Roman" w:hAnsi="Times New Roman" w:eastAsia="仿宋_GB2312" w:cs="Times New Roman"/>
          <w:color w:val="auto"/>
          <w:spacing w:val="0"/>
          <w:sz w:val="32"/>
          <w:szCs w:val="32"/>
          <w:highlight w:val="none"/>
          <w:lang w:val="en-US" w:eastAsia="zh-CN"/>
        </w:rPr>
        <w:t>=病种分值</w:t>
      </w:r>
      <w:r>
        <w:rPr>
          <w:rFonts w:hint="default" w:ascii="Arial" w:hAnsi="Arial" w:eastAsia="仿宋_GB2312" w:cs="Arial"/>
          <w:color w:val="auto"/>
          <w:spacing w:val="0"/>
          <w:sz w:val="32"/>
          <w:szCs w:val="32"/>
          <w:highlight w:val="none"/>
          <w:lang w:val="en-US" w:eastAsia="zh-CN"/>
        </w:rPr>
        <w:t>×</w:t>
      </w:r>
      <w:r>
        <w:rPr>
          <w:rFonts w:hint="eastAsia" w:ascii="Arial" w:hAnsi="Arial" w:eastAsia="仿宋_GB2312" w:cs="Arial"/>
          <w:color w:val="auto"/>
          <w:spacing w:val="0"/>
          <w:sz w:val="32"/>
          <w:szCs w:val="32"/>
          <w:highlight w:val="none"/>
          <w:lang w:val="en-US" w:eastAsia="zh-CN"/>
        </w:rPr>
        <w:t>医疗机构付费系数</w:t>
      </w:r>
      <w:r>
        <w:rPr>
          <w:rFonts w:hint="default" w:ascii="Arial" w:hAnsi="Arial" w:eastAsia="仿宋_GB2312" w:cs="Arial"/>
          <w:color w:val="auto"/>
          <w:spacing w:val="0"/>
          <w:sz w:val="32"/>
          <w:szCs w:val="32"/>
          <w:highlight w:val="none"/>
          <w:lang w:val="en-US" w:eastAsia="zh-CN"/>
        </w:rPr>
        <w:t>×</w:t>
      </w:r>
      <w:r>
        <w:rPr>
          <w:rFonts w:hint="eastAsia" w:ascii="Times New Roman" w:hAnsi="Times New Roman" w:eastAsia="仿宋_GB2312" w:cs="Times New Roman"/>
          <w:color w:val="auto"/>
          <w:spacing w:val="0"/>
          <w:sz w:val="32"/>
          <w:szCs w:val="32"/>
          <w:highlight w:val="none"/>
          <w:lang w:val="en-US" w:eastAsia="zh-CN"/>
        </w:rPr>
        <w:t>（该病例总费用</w:t>
      </w:r>
      <w:r>
        <w:rPr>
          <w:rFonts w:hint="default" w:ascii="Arial" w:hAnsi="Arial" w:eastAsia="仿宋_GB2312" w:cs="Arial"/>
          <w:color w:val="auto"/>
          <w:spacing w:val="0"/>
          <w:sz w:val="32"/>
          <w:szCs w:val="32"/>
          <w:highlight w:val="none"/>
          <w:lang w:val="en-US" w:eastAsia="zh-CN"/>
        </w:rPr>
        <w:t>÷</w:t>
      </w:r>
      <w:r>
        <w:rPr>
          <w:rFonts w:hint="eastAsia" w:ascii="Times New Roman" w:hAnsi="Times New Roman" w:eastAsia="仿宋_GB2312" w:cs="Times New Roman"/>
          <w:color w:val="auto"/>
          <w:spacing w:val="0"/>
          <w:sz w:val="32"/>
          <w:szCs w:val="32"/>
          <w:highlight w:val="none"/>
          <w:lang w:val="en-US" w:eastAsia="zh-CN"/>
        </w:rPr>
        <w:t>该级别病种次均住院费用</w:t>
      </w:r>
      <w:r>
        <w:rPr>
          <w:rFonts w:hint="default" w:ascii="Arial" w:hAnsi="Arial" w:eastAsia="仿宋_GB2312" w:cs="Arial"/>
          <w:color w:val="auto"/>
          <w:spacing w:val="0"/>
          <w:sz w:val="32"/>
          <w:szCs w:val="32"/>
          <w:highlight w:val="none"/>
          <w:lang w:val="en-US" w:eastAsia="zh-CN"/>
        </w:rPr>
        <w:t>－</w:t>
      </w:r>
      <w:r>
        <w:rPr>
          <w:rFonts w:hint="eastAsia" w:ascii="Times New Roman" w:hAnsi="Times New Roman" w:eastAsia="仿宋_GB2312" w:cs="Times New Roman"/>
          <w:color w:val="auto"/>
          <w:spacing w:val="0"/>
          <w:sz w:val="32"/>
          <w:szCs w:val="32"/>
          <w:highlight w:val="none"/>
          <w:lang w:val="en-US" w:eastAsia="zh-CN"/>
        </w:rPr>
        <w:t>2）</w:t>
      </w:r>
      <w:r>
        <w:rPr>
          <w:rFonts w:hint="default" w:ascii="Arial" w:hAnsi="Arial" w:eastAsia="仿宋_GB2312" w:cs="Arial"/>
          <w:color w:val="auto"/>
          <w:spacing w:val="0"/>
          <w:sz w:val="32"/>
          <w:szCs w:val="32"/>
          <w:highlight w:val="none"/>
          <w:lang w:val="en-US" w:eastAsia="zh-CN"/>
        </w:rPr>
        <w:t>＋</w:t>
      </w:r>
      <w:r>
        <w:rPr>
          <w:rFonts w:hint="eastAsia" w:ascii="Times New Roman" w:hAnsi="Times New Roman" w:eastAsia="仿宋_GB2312" w:cs="Times New Roman"/>
          <w:color w:val="auto"/>
          <w:spacing w:val="0"/>
          <w:sz w:val="32"/>
          <w:szCs w:val="32"/>
          <w:highlight w:val="none"/>
          <w:lang w:val="en-US" w:eastAsia="zh-CN"/>
        </w:rPr>
        <w:t>病种分值</w:t>
      </w:r>
      <w:r>
        <w:rPr>
          <w:rFonts w:hint="default" w:ascii="Arial" w:hAnsi="Arial" w:eastAsia="仿宋_GB2312" w:cs="Arial"/>
          <w:color w:val="auto"/>
          <w:spacing w:val="0"/>
          <w:sz w:val="32"/>
          <w:szCs w:val="32"/>
          <w:highlight w:val="none"/>
          <w:lang w:val="en-US" w:eastAsia="zh-CN"/>
        </w:rPr>
        <w:t>×</w:t>
      </w:r>
      <w:r>
        <w:rPr>
          <w:rFonts w:hint="eastAsia" w:ascii="Arial" w:hAnsi="Arial" w:eastAsia="仿宋_GB2312" w:cs="Arial"/>
          <w:color w:val="auto"/>
          <w:spacing w:val="0"/>
          <w:sz w:val="32"/>
          <w:szCs w:val="32"/>
          <w:highlight w:val="none"/>
          <w:lang w:val="en-US" w:eastAsia="zh-CN"/>
        </w:rPr>
        <w:t>医疗机构付费系数</w:t>
      </w:r>
    </w:p>
    <w:p w14:paraId="0A8FE379">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lang w:val="en-US" w:eastAsia="zh-CN"/>
        </w:rPr>
        <w:t>2</w:t>
      </w:r>
      <w:r>
        <w:rPr>
          <w:rFonts w:hint="default" w:ascii="Times New Roman" w:hAnsi="Times New Roman" w:eastAsia="仿宋_GB2312" w:cs="Times New Roman"/>
          <w:color w:val="auto"/>
          <w:spacing w:val="0"/>
          <w:sz w:val="32"/>
          <w:szCs w:val="32"/>
          <w:highlight w:val="none"/>
        </w:rPr>
        <w:t>.DIP费用超低病例</w:t>
      </w:r>
    </w:p>
    <w:p w14:paraId="57A5DAE2">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是指住院总费用≤本病种支付标准50%的病例。</w:t>
      </w:r>
    </w:p>
    <w:p w14:paraId="3B5951F8">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Times New Roman" w:hAnsi="Times New Roman" w:eastAsia="仿宋_GB2312" w:cs="Times New Roman"/>
          <w:color w:val="auto"/>
          <w:spacing w:val="0"/>
          <w:sz w:val="32"/>
          <w:szCs w:val="32"/>
          <w:highlight w:val="none"/>
          <w:lang w:eastAsia="zh-CN"/>
        </w:rPr>
      </w:pPr>
      <w:r>
        <w:rPr>
          <w:rFonts w:hint="eastAsia" w:ascii="Times New Roman" w:hAnsi="Times New Roman" w:eastAsia="仿宋_GB2312" w:cs="Times New Roman"/>
          <w:color w:val="auto"/>
          <w:spacing w:val="0"/>
          <w:sz w:val="32"/>
          <w:szCs w:val="32"/>
          <w:highlight w:val="none"/>
          <w:lang w:eastAsia="zh-CN"/>
        </w:rPr>
        <w:t>计算公式为：</w:t>
      </w:r>
    </w:p>
    <w:p w14:paraId="5EE2E785">
      <w:pPr>
        <w:keepNext w:val="0"/>
        <w:keepLines w:val="0"/>
        <w:pageBreakBefore w:val="0"/>
        <w:widowControl/>
        <w:kinsoku w:val="0"/>
        <w:wordWrap/>
        <w:overflowPunct/>
        <w:topLinePunct w:val="0"/>
        <w:autoSpaceDE w:val="0"/>
        <w:autoSpaceDN w:val="0"/>
        <w:bidi w:val="0"/>
        <w:adjustRightInd w:val="0"/>
        <w:snapToGrid w:val="0"/>
        <w:spacing w:line="576" w:lineRule="exact"/>
        <w:ind w:firstLine="640" w:firstLineChars="200"/>
        <w:jc w:val="both"/>
        <w:textAlignment w:val="baseline"/>
        <w:rPr>
          <w:rFonts w:hint="eastAsia" w:ascii="Times New Roman" w:hAnsi="Times New Roman" w:eastAsia="仿宋_GB2312" w:cs="Times New Roman"/>
          <w:color w:val="auto"/>
          <w:spacing w:val="0"/>
          <w:sz w:val="32"/>
          <w:szCs w:val="32"/>
          <w:highlight w:val="none"/>
          <w:lang w:val="en-US" w:eastAsia="zh-CN"/>
        </w:rPr>
      </w:pPr>
      <w:r>
        <w:rPr>
          <w:rFonts w:hint="eastAsia" w:ascii="Times New Roman" w:hAnsi="Times New Roman" w:eastAsia="仿宋_GB2312" w:cs="Times New Roman"/>
          <w:color w:val="auto"/>
          <w:spacing w:val="0"/>
          <w:sz w:val="32"/>
          <w:szCs w:val="32"/>
          <w:highlight w:val="none"/>
          <w:lang w:eastAsia="zh-CN"/>
        </w:rPr>
        <w:t>费用超低病例分值</w:t>
      </w:r>
      <w:r>
        <w:rPr>
          <w:rFonts w:hint="eastAsia" w:ascii="Times New Roman" w:hAnsi="Times New Roman" w:eastAsia="仿宋_GB2312" w:cs="Times New Roman"/>
          <w:color w:val="auto"/>
          <w:spacing w:val="0"/>
          <w:sz w:val="32"/>
          <w:szCs w:val="32"/>
          <w:highlight w:val="none"/>
          <w:lang w:val="en-US" w:eastAsia="zh-CN"/>
        </w:rPr>
        <w:t>=病种分值</w:t>
      </w:r>
      <w:r>
        <w:rPr>
          <w:rFonts w:hint="default" w:ascii="Arial" w:hAnsi="Arial" w:eastAsia="仿宋_GB2312" w:cs="Arial"/>
          <w:color w:val="auto"/>
          <w:spacing w:val="0"/>
          <w:sz w:val="32"/>
          <w:szCs w:val="32"/>
          <w:highlight w:val="none"/>
          <w:lang w:val="en-US" w:eastAsia="zh-CN"/>
        </w:rPr>
        <w:t>×</w:t>
      </w:r>
      <w:r>
        <w:rPr>
          <w:rFonts w:hint="eastAsia" w:ascii="Arial" w:hAnsi="Arial" w:eastAsia="仿宋_GB2312" w:cs="Arial"/>
          <w:color w:val="auto"/>
          <w:spacing w:val="0"/>
          <w:sz w:val="32"/>
          <w:szCs w:val="32"/>
          <w:highlight w:val="none"/>
          <w:lang w:val="en-US" w:eastAsia="zh-CN"/>
        </w:rPr>
        <w:t>医疗机构付费系数</w:t>
      </w:r>
      <w:r>
        <w:rPr>
          <w:rFonts w:hint="default" w:ascii="Arial" w:hAnsi="Arial" w:eastAsia="仿宋_GB2312" w:cs="Arial"/>
          <w:color w:val="auto"/>
          <w:spacing w:val="0"/>
          <w:sz w:val="32"/>
          <w:szCs w:val="32"/>
          <w:highlight w:val="none"/>
          <w:lang w:val="en-US" w:eastAsia="zh-CN"/>
        </w:rPr>
        <w:t>×</w:t>
      </w:r>
      <w:r>
        <w:rPr>
          <w:rFonts w:hint="eastAsia" w:ascii="Times New Roman" w:hAnsi="Times New Roman" w:eastAsia="仿宋_GB2312" w:cs="Times New Roman"/>
          <w:color w:val="auto"/>
          <w:spacing w:val="0"/>
          <w:sz w:val="32"/>
          <w:szCs w:val="32"/>
          <w:highlight w:val="none"/>
          <w:lang w:val="en-US" w:eastAsia="zh-CN"/>
        </w:rPr>
        <w:t>(该病例总费用</w:t>
      </w:r>
      <w:r>
        <w:rPr>
          <w:rFonts w:hint="default" w:ascii="Arial" w:hAnsi="Arial" w:eastAsia="仿宋_GB2312" w:cs="Arial"/>
          <w:color w:val="auto"/>
          <w:spacing w:val="0"/>
          <w:sz w:val="32"/>
          <w:szCs w:val="32"/>
          <w:highlight w:val="none"/>
          <w:lang w:val="en-US" w:eastAsia="zh-CN"/>
        </w:rPr>
        <w:t>÷</w:t>
      </w:r>
      <w:r>
        <w:rPr>
          <w:rFonts w:hint="eastAsia" w:ascii="Times New Roman" w:hAnsi="Times New Roman" w:eastAsia="仿宋_GB2312" w:cs="Times New Roman"/>
          <w:color w:val="auto"/>
          <w:spacing w:val="0"/>
          <w:sz w:val="32"/>
          <w:szCs w:val="32"/>
          <w:highlight w:val="none"/>
          <w:lang w:val="en-US" w:eastAsia="zh-CN"/>
        </w:rPr>
        <w:t>该级别病种次均住院费用）</w:t>
      </w:r>
    </w:p>
    <w:p w14:paraId="7C90643C">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snapToGrid w:val="0"/>
          <w:color w:val="000000" w:themeColor="text1"/>
          <w:spacing w:val="0"/>
          <w:kern w:val="0"/>
          <w:sz w:val="32"/>
          <w:szCs w:val="32"/>
          <w:highlight w:val="none"/>
          <w:lang w:val="en-US" w:eastAsia="zh-CN" w:bidi="ar-SA"/>
          <w14:textFill>
            <w14:solidFill>
              <w14:schemeClr w14:val="tx1"/>
            </w14:solidFill>
          </w14:textFill>
        </w:rPr>
        <w:t>第二十</w:t>
      </w:r>
      <w:r>
        <w:rPr>
          <w:rFonts w:hint="eastAsia" w:ascii="黑体" w:hAnsi="黑体" w:eastAsia="黑体" w:cs="黑体"/>
          <w:snapToGrid w:val="0"/>
          <w:color w:val="000000" w:themeColor="text1"/>
          <w:spacing w:val="0"/>
          <w:kern w:val="0"/>
          <w:sz w:val="32"/>
          <w:szCs w:val="32"/>
          <w:highlight w:val="none"/>
          <w:lang w:val="en-US" w:eastAsia="zh-CN" w:bidi="ar-SA"/>
          <w14:textFill>
            <w14:solidFill>
              <w14:schemeClr w14:val="tx1"/>
            </w14:solidFill>
          </w14:textFill>
        </w:rPr>
        <w:t>三</w:t>
      </w:r>
      <w:r>
        <w:rPr>
          <w:rFonts w:hint="default" w:ascii="黑体" w:hAnsi="黑体" w:eastAsia="黑体" w:cs="黑体"/>
          <w:snapToGrid w:val="0"/>
          <w:color w:val="000000" w:themeColor="text1"/>
          <w:spacing w:val="0"/>
          <w:kern w:val="0"/>
          <w:sz w:val="32"/>
          <w:szCs w:val="32"/>
          <w:highlight w:val="none"/>
          <w:lang w:val="en-US" w:eastAsia="zh-CN" w:bidi="ar-SA"/>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市级</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医保部门根据DIP分值、点值、等级系数</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辅助分型调节系数</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等，确定各DIP病种付费标准。</w:t>
      </w:r>
    </w:p>
    <w:p w14:paraId="0C8BB202">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p>
    <w:p w14:paraId="193C1211">
      <w:pPr>
        <w:keepNext w:val="0"/>
        <w:keepLines w:val="0"/>
        <w:pageBreakBefore w:val="0"/>
        <w:widowControl w:val="0"/>
        <w:kinsoku/>
        <w:wordWrap/>
        <w:overflowPunct/>
        <w:topLinePunct w:val="0"/>
        <w:autoSpaceDE w:val="0"/>
        <w:autoSpaceDN w:val="0"/>
        <w:bidi w:val="0"/>
        <w:adjustRightInd w:val="0"/>
        <w:snapToGrid w:val="0"/>
        <w:spacing w:line="576" w:lineRule="exact"/>
        <w:ind w:right="0"/>
        <w:jc w:val="center"/>
        <w:textAlignment w:val="baseline"/>
        <w:outlineLvl w:val="2"/>
        <w:rPr>
          <w:rFonts w:hint="default" w:ascii="黑体" w:hAnsi="黑体" w:eastAsia="黑体" w:cs="黑体"/>
          <w:b w:val="0"/>
          <w:bCs w:val="0"/>
          <w:color w:val="000000" w:themeColor="text1"/>
          <w:spacing w:val="0"/>
          <w:sz w:val="32"/>
          <w:szCs w:val="32"/>
          <w:highlight w:val="none"/>
          <w14:textFill>
            <w14:solidFill>
              <w14:schemeClr w14:val="tx1"/>
            </w14:solidFill>
          </w14:textFill>
        </w:rPr>
      </w:pPr>
      <w:r>
        <w:rPr>
          <w:rFonts w:hint="default" w:ascii="黑体" w:hAnsi="黑体" w:eastAsia="黑体" w:cs="黑体"/>
          <w:b w:val="0"/>
          <w:bCs w:val="0"/>
          <w:color w:val="000000" w:themeColor="text1"/>
          <w:spacing w:val="0"/>
          <w:sz w:val="32"/>
          <w:szCs w:val="32"/>
          <w:highlight w:val="none"/>
          <w14:textFill>
            <w14:solidFill>
              <w14:schemeClr w14:val="tx1"/>
            </w14:solidFill>
          </w14:textFill>
        </w:rPr>
        <w:t>第</w:t>
      </w:r>
      <w:r>
        <w:rPr>
          <w:rFonts w:hint="default" w:ascii="黑体" w:hAnsi="黑体" w:eastAsia="黑体" w:cs="黑体"/>
          <w:b w:val="0"/>
          <w:bCs w:val="0"/>
          <w:color w:val="000000" w:themeColor="text1"/>
          <w:spacing w:val="0"/>
          <w:sz w:val="32"/>
          <w:szCs w:val="32"/>
          <w:highlight w:val="none"/>
          <w:lang w:eastAsia="zh-CN"/>
          <w14:textFill>
            <w14:solidFill>
              <w14:schemeClr w14:val="tx1"/>
            </w14:solidFill>
          </w14:textFill>
        </w:rPr>
        <w:t>六</w:t>
      </w:r>
      <w:r>
        <w:rPr>
          <w:rFonts w:hint="default" w:ascii="黑体" w:hAnsi="黑体" w:eastAsia="黑体" w:cs="黑体"/>
          <w:b w:val="0"/>
          <w:bCs w:val="0"/>
          <w:color w:val="000000" w:themeColor="text1"/>
          <w:spacing w:val="0"/>
          <w:sz w:val="32"/>
          <w:szCs w:val="32"/>
          <w:highlight w:val="none"/>
          <w14:textFill>
            <w14:solidFill>
              <w14:schemeClr w14:val="tx1"/>
            </w14:solidFill>
          </w14:textFill>
        </w:rPr>
        <w:t>章  配套管理</w:t>
      </w:r>
    </w:p>
    <w:p w14:paraId="57C98F66">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第二十</w:t>
      </w:r>
      <w:r>
        <w:rPr>
          <w:rFonts w:hint="eastAsia" w:ascii="黑体" w:hAnsi="黑体" w:eastAsia="黑体" w:cs="黑体"/>
          <w:color w:val="000000" w:themeColor="text1"/>
          <w:spacing w:val="0"/>
          <w:sz w:val="32"/>
          <w:szCs w:val="32"/>
          <w:highlight w:val="none"/>
          <w:lang w:val="en-US" w:eastAsia="zh-CN"/>
          <w14:textFill>
            <w14:solidFill>
              <w14:schemeClr w14:val="tx1"/>
            </w14:solidFill>
          </w14:textFill>
        </w:rPr>
        <w:t>四</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根据DIP实际运行情况、新技术运用、政策调整等因素，由</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市级</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医保经办机构根据历史结算数据测算结果，提出DIP分组、目录</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及</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分值、医疗机构等级系数等调整方案，并与医疗机构谈判协商达成一致意见，报</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级医保行政部门备案后实施。原则上与</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省级</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版分组方案调整时限保持一致，每两年调整一次。必要情况下，可适时调整。</w:t>
      </w:r>
    </w:p>
    <w:p w14:paraId="4F77A188">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第二十</w:t>
      </w:r>
      <w:r>
        <w:rPr>
          <w:rFonts w:hint="eastAsia" w:ascii="黑体" w:hAnsi="黑体" w:eastAsia="黑体" w:cs="黑体"/>
          <w:color w:val="000000" w:themeColor="text1"/>
          <w:spacing w:val="0"/>
          <w:sz w:val="32"/>
          <w:szCs w:val="32"/>
          <w:highlight w:val="none"/>
          <w:lang w:val="en-US" w:eastAsia="zh-CN"/>
          <w14:textFill>
            <w14:solidFill>
              <w14:schemeClr w14:val="tx1"/>
            </w14:solidFill>
          </w14:textFill>
        </w:rPr>
        <w:t>五</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市级</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医保部门要建立特例单议工作机制</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有关规定另行通知。</w:t>
      </w:r>
    </w:p>
    <w:p w14:paraId="557F3946">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第二十</w:t>
      </w:r>
      <w:r>
        <w:rPr>
          <w:rFonts w:hint="eastAsia" w:ascii="黑体" w:hAnsi="黑体" w:eastAsia="黑体" w:cs="黑体"/>
          <w:color w:val="000000" w:themeColor="text1"/>
          <w:spacing w:val="0"/>
          <w:sz w:val="32"/>
          <w:szCs w:val="32"/>
          <w:highlight w:val="none"/>
          <w:lang w:val="en-US" w:eastAsia="zh-CN"/>
          <w14:textFill>
            <w14:solidFill>
              <w14:schemeClr w14:val="tx1"/>
            </w14:solidFill>
          </w14:textFill>
        </w:rPr>
        <w:t>六</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对经市级以上卫健部门认定的新医疗技术项目应用的病例</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探索实施</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单独核算，补偿后支付比例不低于90%。此类病例的数量由</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市级医保部门</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结合实际确定，原则上不受特例单议比例限制。</w:t>
      </w:r>
    </w:p>
    <w:p w14:paraId="260147C9">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第二十</w:t>
      </w:r>
      <w:r>
        <w:rPr>
          <w:rFonts w:hint="eastAsia" w:ascii="黑体" w:hAnsi="黑体" w:eastAsia="黑体" w:cs="黑体"/>
          <w:color w:val="000000" w:themeColor="text1"/>
          <w:spacing w:val="0"/>
          <w:sz w:val="32"/>
          <w:szCs w:val="32"/>
          <w:highlight w:val="none"/>
          <w:lang w:val="en-US" w:eastAsia="zh-CN"/>
          <w14:textFill>
            <w14:solidFill>
              <w14:schemeClr w14:val="tx1"/>
            </w14:solidFill>
          </w14:textFill>
        </w:rPr>
        <w:t>七</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市级</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医保部门可实行药品、医用耗材集采与DIP支付挂钩，集采当年涉及的DIP</w:t>
      </w:r>
      <w:r>
        <w:rPr>
          <w:rFonts w:hint="default" w:ascii="Times New Roman" w:hAnsi="Times New Roman" w:eastAsia="仿宋_GB2312" w:cs="Times New Roman"/>
          <w:color w:val="auto"/>
          <w:spacing w:val="0"/>
          <w:sz w:val="32"/>
          <w:szCs w:val="32"/>
          <w:highlight w:val="none"/>
        </w:rPr>
        <w:t>病</w:t>
      </w:r>
      <w:r>
        <w:rPr>
          <w:rFonts w:hint="eastAsia" w:ascii="Times New Roman" w:hAnsi="Times New Roman" w:eastAsia="仿宋_GB2312" w:cs="Times New Roman"/>
          <w:color w:val="auto"/>
          <w:spacing w:val="0"/>
          <w:sz w:val="32"/>
          <w:szCs w:val="32"/>
          <w:highlight w:val="none"/>
          <w:lang w:eastAsia="zh-CN"/>
        </w:rPr>
        <w:t>种</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支付标准不作调整，次年起可按照上年度费用发生情况重新确定支付标准。</w:t>
      </w:r>
    </w:p>
    <w:p w14:paraId="53596299">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第二十</w:t>
      </w:r>
      <w:r>
        <w:rPr>
          <w:rFonts w:hint="eastAsia" w:ascii="黑体" w:hAnsi="黑体" w:eastAsia="黑体" w:cs="黑体"/>
          <w:color w:val="000000" w:themeColor="text1"/>
          <w:spacing w:val="0"/>
          <w:sz w:val="32"/>
          <w:szCs w:val="32"/>
          <w:highlight w:val="none"/>
          <w:lang w:val="en-US" w:eastAsia="zh-CN"/>
          <w14:textFill>
            <w14:solidFill>
              <w14:schemeClr w14:val="tx1"/>
            </w14:solidFill>
          </w14:textFill>
        </w:rPr>
        <w:t>八</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建立预付金机制。</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市级医保经办机构</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根据基本医保基金结余情况，向管理规范、信用良好以及在医保政策落地等方面表现较好的医疗机构预付1个月左右的周转金</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即预付金</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），具体按医保基金预付工作方案执行。</w:t>
      </w:r>
    </w:p>
    <w:p w14:paraId="0F4D43FD">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w:t>
      </w:r>
      <w:r>
        <w:rPr>
          <w:rFonts w:hint="eastAsia" w:ascii="黑体" w:hAnsi="黑体" w:eastAsia="黑体" w:cs="黑体"/>
          <w:color w:val="000000" w:themeColor="text1"/>
          <w:spacing w:val="0"/>
          <w:sz w:val="32"/>
          <w:szCs w:val="32"/>
          <w:highlight w:val="none"/>
          <w:lang w:val="en-US" w:eastAsia="zh-CN"/>
          <w14:textFill>
            <w14:solidFill>
              <w14:schemeClr w14:val="tx1"/>
            </w14:solidFill>
          </w14:textFill>
        </w:rPr>
        <w:t>二十九</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市级</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医保部门要建立意见收集反馈工作机制。可采取公布意见收集反馈邮箱等方式，畅通意见收集反馈渠道，在政策出台、分组调整、结算清算等各个环节充分征求相关单位、相关部门、相关人士意见建议，提升社会各界参与改革的积极性，凝聚各方改革共识。</w:t>
      </w:r>
    </w:p>
    <w:p w14:paraId="34D4DD8F">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w:t>
      </w:r>
      <w:r>
        <w:rPr>
          <w:rFonts w:hint="default" w:ascii="黑体" w:hAnsi="黑体" w:eastAsia="黑体" w:cs="黑体"/>
          <w:color w:val="000000" w:themeColor="text1"/>
          <w:spacing w:val="0"/>
          <w:sz w:val="32"/>
          <w:szCs w:val="32"/>
          <w:highlight w:val="none"/>
          <w:lang w:eastAsia="zh-CN"/>
          <w14:textFill>
            <w14:solidFill>
              <w14:schemeClr w14:val="tx1"/>
            </w14:solidFill>
          </w14:textFill>
        </w:rPr>
        <w:t>三十</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市级</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医保部门要建立谈判协商工作机制。成立DIP专家组，由临床、医保、药学、病案、财务、信息、法律等方面专家组成。在开展DIP分组、</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分值</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、点值等相关工作评审评议时，应邀请专家组成员和定点医疗机构相关人员参与集体讨论、充分沟通协商。</w:t>
      </w:r>
    </w:p>
    <w:p w14:paraId="0D54407D">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w:t>
      </w:r>
      <w:r>
        <w:rPr>
          <w:rFonts w:hint="default" w:ascii="黑体" w:hAnsi="黑体" w:eastAsia="黑体" w:cs="黑体"/>
          <w:color w:val="000000" w:themeColor="text1"/>
          <w:spacing w:val="0"/>
          <w:sz w:val="32"/>
          <w:szCs w:val="32"/>
          <w:highlight w:val="none"/>
          <w:lang w:eastAsia="zh-CN"/>
          <w14:textFill>
            <w14:solidFill>
              <w14:schemeClr w14:val="tx1"/>
            </w14:solidFill>
          </w14:textFill>
        </w:rPr>
        <w:t>三十</w:t>
      </w:r>
      <w:r>
        <w:rPr>
          <w:rFonts w:hint="eastAsia" w:ascii="黑体" w:hAnsi="黑体" w:eastAsia="黑体" w:cs="黑体"/>
          <w:color w:val="000000" w:themeColor="text1"/>
          <w:spacing w:val="0"/>
          <w:sz w:val="32"/>
          <w:szCs w:val="32"/>
          <w:highlight w:val="none"/>
          <w:lang w:val="en-US" w:eastAsia="zh-CN"/>
          <w14:textFill>
            <w14:solidFill>
              <w14:schemeClr w14:val="tx1"/>
            </w14:solidFill>
          </w14:textFill>
        </w:rPr>
        <w:t>一</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各</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级</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医保经办机构要按月开展DIP运行分析，强化分析结果运用，增强数据分析对付费改革的指导性和前瞻性；建立DIP基金运行监测指标体系，对DIP付费改革的实施效果进行周期性评价，发现问题要及时提醒并指导医疗机构进行核实处理。运行分析结果要报送同级医保行政部门。</w:t>
      </w:r>
    </w:p>
    <w:p w14:paraId="60423AD0">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第三</w:t>
      </w:r>
      <w:r>
        <w:rPr>
          <w:rFonts w:hint="default" w:ascii="黑体" w:hAnsi="黑体" w:eastAsia="黑体" w:cs="黑体"/>
          <w:color w:val="000000" w:themeColor="text1"/>
          <w:spacing w:val="0"/>
          <w:sz w:val="32"/>
          <w:szCs w:val="32"/>
          <w:highlight w:val="none"/>
          <w:lang w:eastAsia="zh-CN"/>
          <w14:textFill>
            <w14:solidFill>
              <w14:schemeClr w14:val="tx1"/>
            </w14:solidFill>
          </w14:textFill>
        </w:rPr>
        <w:t>十</w:t>
      </w:r>
      <w:r>
        <w:rPr>
          <w:rFonts w:hint="eastAsia" w:ascii="黑体" w:hAnsi="黑体" w:eastAsia="黑体" w:cs="黑体"/>
          <w:color w:val="000000" w:themeColor="text1"/>
          <w:spacing w:val="0"/>
          <w:sz w:val="32"/>
          <w:szCs w:val="32"/>
          <w:highlight w:val="none"/>
          <w:lang w:val="en-US" w:eastAsia="zh-CN"/>
          <w14:textFill>
            <w14:solidFill>
              <w14:schemeClr w14:val="tx1"/>
            </w14:solidFill>
          </w14:textFill>
        </w:rPr>
        <w:t>二</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市级</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医保部门要建立医保数据公开机制。成立医保数据工作组，按月向定点医疗机构公开按病种付费等情况，</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数据</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尚不具备</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时</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可按季度公开。</w:t>
      </w:r>
      <w:r>
        <w:rPr>
          <w:rFonts w:hint="eastAsia" w:ascii="Times New Roman" w:hAnsi="Times New Roman" w:eastAsia="仿宋_GB2312" w:cs="Times New Roman"/>
          <w:color w:val="auto"/>
          <w:spacing w:val="0"/>
          <w:sz w:val="32"/>
          <w:szCs w:val="32"/>
          <w:highlight w:val="none"/>
          <w:lang w:eastAsia="zh-CN"/>
        </w:rPr>
        <w:t>上年度清算完成后一个月左右，</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要</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以线下面对面发布为主，提高工作透明度，促进医保数据和医疗数据共享共用共治，实现医保数据赋能医疗机构发展。公开数据内容包括本地和异地医保基金收支结余情况、预算执行情况、DIP付费、结算清算等。</w:t>
      </w:r>
    </w:p>
    <w:p w14:paraId="6D335AE0">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eastAsia" w:ascii="Times New Roman" w:hAnsi="Times New Roman" w:eastAsia="仿宋_GB2312" w:cs="Times New Roman"/>
          <w:strike/>
          <w:dstrike w:val="0"/>
          <w:color w:val="auto"/>
          <w:spacing w:val="0"/>
          <w:sz w:val="32"/>
          <w:szCs w:val="32"/>
          <w:highlight w:val="none"/>
          <w:lang w:eastAsia="zh-CN"/>
        </w:rPr>
      </w:pPr>
      <w:r>
        <w:rPr>
          <w:rFonts w:hint="default" w:ascii="黑体" w:hAnsi="黑体" w:eastAsia="黑体" w:cs="黑体"/>
          <w:strike w:val="0"/>
          <w:dstrike w:val="0"/>
          <w:color w:val="auto"/>
          <w:spacing w:val="0"/>
          <w:sz w:val="32"/>
          <w:szCs w:val="32"/>
          <w:highlight w:val="none"/>
        </w:rPr>
        <w:t>第三十</w:t>
      </w:r>
      <w:r>
        <w:rPr>
          <w:rFonts w:hint="eastAsia" w:ascii="黑体" w:hAnsi="黑体" w:eastAsia="黑体" w:cs="黑体"/>
          <w:strike w:val="0"/>
          <w:dstrike w:val="0"/>
          <w:color w:val="auto"/>
          <w:spacing w:val="0"/>
          <w:sz w:val="32"/>
          <w:szCs w:val="32"/>
          <w:highlight w:val="none"/>
          <w:lang w:val="en-US" w:eastAsia="zh-CN"/>
        </w:rPr>
        <w:t>三</w:t>
      </w:r>
      <w:r>
        <w:rPr>
          <w:rFonts w:hint="default" w:ascii="黑体" w:hAnsi="黑体" w:eastAsia="黑体" w:cs="黑体"/>
          <w:strike w:val="0"/>
          <w:dstrike w:val="0"/>
          <w:color w:val="auto"/>
          <w:spacing w:val="0"/>
          <w:sz w:val="32"/>
          <w:szCs w:val="32"/>
          <w:highlight w:val="none"/>
        </w:rPr>
        <w:t>条</w:t>
      </w:r>
      <w:r>
        <w:rPr>
          <w:rFonts w:hint="default" w:ascii="Times New Roman" w:hAnsi="Times New Roman" w:eastAsia="仿宋_GB2312" w:cs="Times New Roman"/>
          <w:strike w:val="0"/>
          <w:dstrike w:val="0"/>
          <w:color w:val="auto"/>
          <w:spacing w:val="0"/>
          <w:sz w:val="32"/>
          <w:szCs w:val="32"/>
          <w:highlight w:val="none"/>
        </w:rPr>
        <w:t xml:space="preserve">  </w:t>
      </w:r>
      <w:r>
        <w:rPr>
          <w:rFonts w:hint="eastAsia" w:ascii="Times New Roman" w:hAnsi="Times New Roman" w:eastAsia="仿宋_GB2312" w:cs="Times New Roman"/>
          <w:strike w:val="0"/>
          <w:dstrike w:val="0"/>
          <w:color w:val="auto"/>
          <w:spacing w:val="0"/>
          <w:sz w:val="32"/>
          <w:szCs w:val="32"/>
          <w:highlight w:val="none"/>
          <w:lang w:eastAsia="zh-CN"/>
        </w:rPr>
        <w:t>各级</w:t>
      </w:r>
      <w:r>
        <w:rPr>
          <w:rFonts w:hint="default" w:ascii="Times New Roman" w:hAnsi="Times New Roman" w:eastAsia="仿宋_GB2312" w:cs="Times New Roman"/>
          <w:strike w:val="0"/>
          <w:dstrike w:val="0"/>
          <w:color w:val="auto"/>
          <w:spacing w:val="0"/>
          <w:sz w:val="32"/>
          <w:szCs w:val="32"/>
          <w:highlight w:val="none"/>
        </w:rPr>
        <w:t>医保经办机构按月对医疗机构DIP病例发生费用进行结算，及时向医疗机构反馈DIP入组、结算等情况。</w:t>
      </w:r>
    </w:p>
    <w:p w14:paraId="654D78B3">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第三十</w:t>
      </w:r>
      <w:r>
        <w:rPr>
          <w:rFonts w:hint="eastAsia" w:ascii="黑体" w:hAnsi="黑体" w:eastAsia="黑体" w:cs="黑体"/>
          <w:color w:val="000000" w:themeColor="text1"/>
          <w:spacing w:val="0"/>
          <w:sz w:val="32"/>
          <w:szCs w:val="32"/>
          <w:highlight w:val="none"/>
          <w:lang w:val="en-US" w:eastAsia="zh-CN"/>
          <w14:textFill>
            <w14:solidFill>
              <w14:schemeClr w14:val="tx1"/>
            </w14:solidFill>
          </w14:textFill>
        </w:rPr>
        <w:t>四</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各级</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医保部门要做好医保支付政策宣传解读，将按病种付费培训作为年度工作纳入常态化管理，加强对医保部门、医疗机构的按病种付费相关知识培训，规范培训内容，创新培训形式，切实提高相关工作人员业务能力。</w:t>
      </w:r>
    </w:p>
    <w:p w14:paraId="7E728B4A">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第三十</w:t>
      </w:r>
      <w:r>
        <w:rPr>
          <w:rFonts w:hint="eastAsia" w:ascii="黑体" w:hAnsi="黑体" w:eastAsia="黑体" w:cs="黑体"/>
          <w:color w:val="000000" w:themeColor="text1"/>
          <w:spacing w:val="0"/>
          <w:sz w:val="32"/>
          <w:szCs w:val="32"/>
          <w:highlight w:val="none"/>
          <w:lang w:val="en-US" w:eastAsia="zh-CN"/>
          <w14:textFill>
            <w14:solidFill>
              <w14:schemeClr w14:val="tx1"/>
            </w14:solidFill>
          </w14:textFill>
        </w:rPr>
        <w:t>五</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各</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级</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医保部门要加强医保支付方式改革与医保标准化工作、医疗服务价格、集中带量采购、医保目录谈判、医保待遇政策、商业健康保险等工作协同。加强医保支付方式改革与公立医院高质量发展、基层医疗卫生服务体系能力建设、分级诊疗等医药卫生体制重点改革的协同联动。</w:t>
      </w:r>
    </w:p>
    <w:p w14:paraId="52FAA3B6">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p>
    <w:p w14:paraId="62B960F9">
      <w:pPr>
        <w:keepNext w:val="0"/>
        <w:keepLines w:val="0"/>
        <w:pageBreakBefore w:val="0"/>
        <w:widowControl w:val="0"/>
        <w:kinsoku/>
        <w:wordWrap/>
        <w:overflowPunct/>
        <w:topLinePunct w:val="0"/>
        <w:autoSpaceDE w:val="0"/>
        <w:autoSpaceDN w:val="0"/>
        <w:bidi w:val="0"/>
        <w:adjustRightInd w:val="0"/>
        <w:snapToGrid w:val="0"/>
        <w:spacing w:line="576" w:lineRule="exact"/>
        <w:ind w:right="0"/>
        <w:jc w:val="center"/>
        <w:textAlignment w:val="baseline"/>
        <w:outlineLvl w:val="2"/>
        <w:rPr>
          <w:rFonts w:hint="default" w:ascii="黑体" w:hAnsi="黑体" w:eastAsia="黑体" w:cs="黑体"/>
          <w:b w:val="0"/>
          <w:bCs w:val="0"/>
          <w:color w:val="000000" w:themeColor="text1"/>
          <w:spacing w:val="0"/>
          <w:sz w:val="32"/>
          <w:szCs w:val="32"/>
          <w:highlight w:val="none"/>
          <w14:textFill>
            <w14:solidFill>
              <w14:schemeClr w14:val="tx1"/>
            </w14:solidFill>
          </w14:textFill>
        </w:rPr>
      </w:pPr>
      <w:r>
        <w:rPr>
          <w:rFonts w:hint="default" w:ascii="黑体" w:hAnsi="黑体" w:eastAsia="黑体" w:cs="黑体"/>
          <w:b w:val="0"/>
          <w:bCs w:val="0"/>
          <w:color w:val="000000" w:themeColor="text1"/>
          <w:spacing w:val="0"/>
          <w:sz w:val="32"/>
          <w:szCs w:val="32"/>
          <w:highlight w:val="none"/>
          <w14:textFill>
            <w14:solidFill>
              <w14:schemeClr w14:val="tx1"/>
            </w14:solidFill>
          </w14:textFill>
        </w:rPr>
        <w:t>第</w:t>
      </w:r>
      <w:r>
        <w:rPr>
          <w:rFonts w:hint="default" w:ascii="黑体" w:hAnsi="黑体" w:eastAsia="黑体" w:cs="黑体"/>
          <w:b w:val="0"/>
          <w:bCs w:val="0"/>
          <w:color w:val="000000" w:themeColor="text1"/>
          <w:spacing w:val="0"/>
          <w:sz w:val="32"/>
          <w:szCs w:val="32"/>
          <w:highlight w:val="none"/>
          <w:lang w:eastAsia="zh-CN"/>
          <w14:textFill>
            <w14:solidFill>
              <w14:schemeClr w14:val="tx1"/>
            </w14:solidFill>
          </w14:textFill>
        </w:rPr>
        <w:t>七</w:t>
      </w:r>
      <w:r>
        <w:rPr>
          <w:rFonts w:hint="default" w:ascii="黑体" w:hAnsi="黑体" w:eastAsia="黑体" w:cs="黑体"/>
          <w:b w:val="0"/>
          <w:bCs w:val="0"/>
          <w:color w:val="000000" w:themeColor="text1"/>
          <w:spacing w:val="0"/>
          <w:sz w:val="32"/>
          <w:szCs w:val="32"/>
          <w:highlight w:val="none"/>
          <w14:textFill>
            <w14:solidFill>
              <w14:schemeClr w14:val="tx1"/>
            </w14:solidFill>
          </w14:textFill>
        </w:rPr>
        <w:t>章  结算清算</w:t>
      </w:r>
    </w:p>
    <w:p w14:paraId="5B986978">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strike w:val="0"/>
          <w:dstrike w:val="0"/>
          <w:color w:val="auto"/>
          <w:spacing w:val="0"/>
          <w:sz w:val="32"/>
          <w:szCs w:val="32"/>
          <w:highlight w:val="none"/>
        </w:rPr>
      </w:pPr>
      <w:r>
        <w:rPr>
          <w:rFonts w:hint="default" w:ascii="黑体" w:hAnsi="黑体" w:eastAsia="黑体" w:cs="黑体"/>
          <w:strike w:val="0"/>
          <w:dstrike w:val="0"/>
          <w:snapToGrid w:val="0"/>
          <w:color w:val="auto"/>
          <w:spacing w:val="0"/>
          <w:kern w:val="0"/>
          <w:sz w:val="32"/>
          <w:szCs w:val="32"/>
          <w:highlight w:val="none"/>
          <w:lang w:val="en-US" w:eastAsia="en-US" w:bidi="ar-SA"/>
        </w:rPr>
        <w:t>第三十</w:t>
      </w:r>
      <w:r>
        <w:rPr>
          <w:rFonts w:hint="eastAsia" w:ascii="黑体" w:hAnsi="黑体" w:eastAsia="黑体" w:cs="黑体"/>
          <w:strike w:val="0"/>
          <w:dstrike w:val="0"/>
          <w:snapToGrid w:val="0"/>
          <w:color w:val="auto"/>
          <w:spacing w:val="0"/>
          <w:kern w:val="0"/>
          <w:sz w:val="32"/>
          <w:szCs w:val="32"/>
          <w:highlight w:val="none"/>
          <w:lang w:val="en-US" w:eastAsia="zh-CN" w:bidi="ar-SA"/>
        </w:rPr>
        <w:t>六</w:t>
      </w:r>
      <w:r>
        <w:rPr>
          <w:rFonts w:hint="default" w:ascii="黑体" w:hAnsi="黑体" w:eastAsia="黑体" w:cs="黑体"/>
          <w:strike w:val="0"/>
          <w:dstrike w:val="0"/>
          <w:snapToGrid w:val="0"/>
          <w:color w:val="auto"/>
          <w:spacing w:val="0"/>
          <w:kern w:val="0"/>
          <w:sz w:val="32"/>
          <w:szCs w:val="32"/>
          <w:highlight w:val="none"/>
          <w:lang w:val="en-US" w:eastAsia="en-US" w:bidi="ar-SA"/>
        </w:rPr>
        <w:t>条</w:t>
      </w:r>
      <w:r>
        <w:rPr>
          <w:rFonts w:hint="default" w:ascii="Times New Roman" w:hAnsi="Times New Roman" w:eastAsia="仿宋_GB2312" w:cs="Times New Roman"/>
          <w:strike w:val="0"/>
          <w:dstrike w:val="0"/>
          <w:color w:val="auto"/>
          <w:spacing w:val="0"/>
          <w:sz w:val="32"/>
          <w:szCs w:val="32"/>
          <w:highlight w:val="none"/>
        </w:rPr>
        <w:t xml:space="preserve">  </w:t>
      </w:r>
      <w:r>
        <w:rPr>
          <w:rFonts w:hint="default" w:ascii="Times New Roman" w:hAnsi="Times New Roman" w:eastAsia="仿宋_GB2312" w:cs="Times New Roman"/>
          <w:strike w:val="0"/>
          <w:dstrike w:val="0"/>
          <w:color w:val="auto"/>
          <w:spacing w:val="0"/>
          <w:sz w:val="32"/>
          <w:szCs w:val="32"/>
          <w:highlight w:val="none"/>
          <w:lang w:eastAsia="zh-CN"/>
        </w:rPr>
        <w:t>市级</w:t>
      </w:r>
      <w:r>
        <w:rPr>
          <w:rFonts w:hint="default" w:ascii="Times New Roman" w:hAnsi="Times New Roman" w:eastAsia="仿宋_GB2312" w:cs="Times New Roman"/>
          <w:strike w:val="0"/>
          <w:dstrike w:val="0"/>
          <w:color w:val="auto"/>
          <w:spacing w:val="0"/>
          <w:sz w:val="32"/>
          <w:szCs w:val="32"/>
          <w:highlight w:val="none"/>
        </w:rPr>
        <w:t>医保部门要推动月度按病种实际结算，积极落实医保基金结算改革工作，推进医保与定点医药机构即时结算，采取多种措施缩短结算周期，进一步减轻医药机构资金周转压力。</w:t>
      </w:r>
    </w:p>
    <w:p w14:paraId="47BE5D70">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rPr>
      </w:pPr>
      <w:r>
        <w:rPr>
          <w:rFonts w:hint="default" w:ascii="黑体" w:hAnsi="黑体" w:eastAsia="黑体" w:cs="黑体"/>
          <w:color w:val="auto"/>
          <w:spacing w:val="0"/>
          <w:sz w:val="32"/>
          <w:szCs w:val="32"/>
          <w:highlight w:val="none"/>
        </w:rPr>
        <w:t>第</w:t>
      </w:r>
      <w:r>
        <w:rPr>
          <w:rFonts w:hint="eastAsia" w:ascii="黑体" w:hAnsi="黑体" w:eastAsia="黑体" w:cs="黑体"/>
          <w:color w:val="auto"/>
          <w:spacing w:val="0"/>
          <w:sz w:val="32"/>
          <w:szCs w:val="32"/>
          <w:highlight w:val="none"/>
          <w:lang w:eastAsia="zh-CN"/>
        </w:rPr>
        <w:t>三十七</w:t>
      </w:r>
      <w:r>
        <w:rPr>
          <w:rFonts w:hint="default" w:ascii="黑体" w:hAnsi="黑体" w:eastAsia="黑体" w:cs="黑体"/>
          <w:color w:val="auto"/>
          <w:spacing w:val="0"/>
          <w:sz w:val="32"/>
          <w:szCs w:val="32"/>
          <w:highlight w:val="none"/>
        </w:rPr>
        <w:t>条</w:t>
      </w:r>
      <w:r>
        <w:rPr>
          <w:rFonts w:hint="default" w:ascii="Times New Roman" w:hAnsi="Times New Roman" w:eastAsia="仿宋_GB2312" w:cs="Times New Roman"/>
          <w:color w:val="auto"/>
          <w:spacing w:val="0"/>
          <w:sz w:val="32"/>
          <w:szCs w:val="32"/>
          <w:highlight w:val="none"/>
        </w:rPr>
        <w:t xml:space="preserve"> </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市级</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医保部门根据医保基金运行情况，按照“总量稳定、变量浮动、增量约束、减量激励”原则，</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引导医疗机构</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合理控制住院统筹基金支出的增长幅度。年度清算时，以</w:t>
      </w:r>
      <w:r>
        <w:rPr>
          <w:rFonts w:hint="default" w:ascii="Times New Roman" w:hAnsi="Times New Roman" w:eastAsia="仿宋_GB2312" w:cs="Times New Roman"/>
          <w:strike w:val="0"/>
          <w:dstrike w:val="0"/>
          <w:color w:val="auto"/>
          <w:spacing w:val="0"/>
          <w:sz w:val="32"/>
          <w:szCs w:val="32"/>
          <w:highlight w:val="none"/>
        </w:rPr>
        <w:t>年初确定的</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住院统筹基金支出年度增长率、同级别医疗机构住院统筹基金支出平均增长率等为基准，对增长率低于基准值的医疗机构可予以激励，对增长率高于基准值的医疗机构予以约束。</w:t>
      </w:r>
    </w:p>
    <w:p w14:paraId="5F7BCF2C">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eastAsia" w:ascii="Times New Roman" w:hAnsi="Times New Roman" w:eastAsia="仿宋_GB2312" w:cs="Times New Roman"/>
          <w:color w:val="auto"/>
          <w:spacing w:val="0"/>
          <w:sz w:val="32"/>
          <w:szCs w:val="32"/>
          <w:highlight w:val="none"/>
          <w:lang w:eastAsia="zh-CN"/>
        </w:rPr>
      </w:pPr>
      <w:r>
        <w:rPr>
          <w:rFonts w:hint="default" w:ascii="黑体" w:hAnsi="黑体" w:eastAsia="黑体" w:cs="黑体"/>
          <w:color w:val="auto"/>
          <w:spacing w:val="0"/>
          <w:sz w:val="32"/>
          <w:szCs w:val="32"/>
          <w:highlight w:val="none"/>
        </w:rPr>
        <w:t>第</w:t>
      </w:r>
      <w:r>
        <w:rPr>
          <w:rFonts w:hint="eastAsia" w:ascii="黑体" w:hAnsi="黑体" w:eastAsia="黑体" w:cs="黑体"/>
          <w:color w:val="auto"/>
          <w:spacing w:val="0"/>
          <w:sz w:val="32"/>
          <w:szCs w:val="32"/>
          <w:highlight w:val="none"/>
          <w:lang w:eastAsia="zh-CN"/>
        </w:rPr>
        <w:t>三十八</w:t>
      </w:r>
      <w:r>
        <w:rPr>
          <w:rFonts w:hint="default" w:ascii="黑体" w:hAnsi="黑体" w:eastAsia="黑体" w:cs="黑体"/>
          <w:color w:val="auto"/>
          <w:spacing w:val="0"/>
          <w:sz w:val="32"/>
          <w:szCs w:val="32"/>
          <w:highlight w:val="none"/>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市级</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医保部门可结合医保基金运行情况，探索将使用国家谈判药品中的高值药品且未纳入DIP付费标准测算的病例，清算时可根据</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实际</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情况予以补偿，相关DIP支付标准调整后，按调整后的标准结算。免陪照护费用可暂不纳入按病种分组测算和年度清算。国家商业健康保险创新药品目录内相关创新药应用病例可不纳入医保按病种付费范围，经审核评议程序后支付。</w:t>
      </w:r>
    </w:p>
    <w:p w14:paraId="68029AE7">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auto"/>
          <w:spacing w:val="0"/>
          <w:sz w:val="32"/>
          <w:szCs w:val="32"/>
          <w:highlight w:val="none"/>
        </w:rPr>
        <w:t>第</w:t>
      </w:r>
      <w:r>
        <w:rPr>
          <w:rFonts w:hint="eastAsia" w:ascii="黑体" w:hAnsi="黑体" w:eastAsia="黑体" w:cs="黑体"/>
          <w:color w:val="auto"/>
          <w:spacing w:val="0"/>
          <w:sz w:val="32"/>
          <w:szCs w:val="32"/>
          <w:highlight w:val="none"/>
          <w:lang w:eastAsia="zh-CN"/>
        </w:rPr>
        <w:t>三十九</w:t>
      </w:r>
      <w:r>
        <w:rPr>
          <w:rFonts w:hint="default" w:ascii="黑体" w:hAnsi="黑体" w:eastAsia="黑体" w:cs="黑体"/>
          <w:color w:val="auto"/>
          <w:spacing w:val="0"/>
          <w:sz w:val="32"/>
          <w:szCs w:val="32"/>
          <w:highlight w:val="none"/>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市级</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医保部门根据DIP实际运行情况，年度清算时可</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探索</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进行结构性调整，适当降低检查检验类和非集采药品耗材类等DIP支付标准，适当调高医疗服务类、集采药品耗材类、高龄重症病例类以及国家</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行业</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政策规定需要支持的项目类等DIP支付标准。</w:t>
      </w:r>
    </w:p>
    <w:p w14:paraId="19AC2E07">
      <w:pPr>
        <w:rPr>
          <w:rFonts w:hint="default"/>
        </w:rPr>
      </w:pPr>
    </w:p>
    <w:p w14:paraId="14D158CD">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rPr>
      </w:pPr>
      <w:r>
        <w:rPr>
          <w:rFonts w:hint="default" w:ascii="黑体" w:hAnsi="黑体" w:eastAsia="黑体" w:cs="黑体"/>
          <w:snapToGrid w:val="0"/>
          <w:color w:val="000000" w:themeColor="text1"/>
          <w:spacing w:val="0"/>
          <w:kern w:val="0"/>
          <w:sz w:val="32"/>
          <w:szCs w:val="32"/>
          <w:highlight w:val="none"/>
          <w:lang w:val="en-US" w:eastAsia="en-US" w:bidi="ar-SA"/>
          <w14:textFill>
            <w14:solidFill>
              <w14:schemeClr w14:val="tx1"/>
            </w14:solidFill>
          </w14:textFill>
        </w:rPr>
        <w:t>第</w:t>
      </w:r>
      <w:r>
        <w:rPr>
          <w:rFonts w:hint="default" w:ascii="黑体" w:hAnsi="黑体" w:eastAsia="黑体" w:cs="黑体"/>
          <w:snapToGrid w:val="0"/>
          <w:color w:val="000000" w:themeColor="text1"/>
          <w:spacing w:val="0"/>
          <w:kern w:val="0"/>
          <w:sz w:val="32"/>
          <w:szCs w:val="32"/>
          <w:highlight w:val="none"/>
          <w:lang w:val="en-US" w:eastAsia="zh-CN" w:bidi="ar-SA"/>
          <w14:textFill>
            <w14:solidFill>
              <w14:schemeClr w14:val="tx1"/>
            </w14:solidFill>
          </w14:textFill>
        </w:rPr>
        <w:t>四十</w:t>
      </w:r>
      <w:r>
        <w:rPr>
          <w:rFonts w:hint="default" w:ascii="黑体" w:hAnsi="黑体" w:eastAsia="黑体" w:cs="黑体"/>
          <w:snapToGrid w:val="0"/>
          <w:color w:val="000000" w:themeColor="text1"/>
          <w:spacing w:val="0"/>
          <w:kern w:val="0"/>
          <w:sz w:val="32"/>
          <w:szCs w:val="32"/>
          <w:highlight w:val="none"/>
          <w:lang w:val="en-US" w:eastAsia="en-US" w:bidi="ar-SA"/>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定点医疗机构新增、中止、解除医保协议。医保年度协议内，新增定点医疗机构按照同级别定点医疗机构的DIP</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基础</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等级系数进行月预结算和年终清算；中止医保协议的医疗机构，中止期内停止月预结算；对解除医保协议的医疗机构停止结算，清算方式结合实际确定。定点医疗机构年度内因违法违规受到中止、解除医保协议等处理的，结余留用以及超支分担部分不予支付。</w:t>
      </w:r>
    </w:p>
    <w:p w14:paraId="4F895F41">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snapToGrid w:val="0"/>
          <w:color w:val="auto"/>
          <w:spacing w:val="0"/>
          <w:kern w:val="0"/>
          <w:sz w:val="32"/>
          <w:szCs w:val="32"/>
          <w:highlight w:val="none"/>
          <w:lang w:val="en-US" w:eastAsia="en-US" w:bidi="ar-SA"/>
        </w:rPr>
        <w:t>第</w:t>
      </w:r>
      <w:r>
        <w:rPr>
          <w:rFonts w:hint="eastAsia" w:ascii="黑体" w:hAnsi="黑体" w:eastAsia="黑体" w:cs="黑体"/>
          <w:snapToGrid w:val="0"/>
          <w:color w:val="auto"/>
          <w:spacing w:val="0"/>
          <w:kern w:val="0"/>
          <w:sz w:val="32"/>
          <w:szCs w:val="32"/>
          <w:highlight w:val="none"/>
          <w:lang w:val="en-US" w:eastAsia="zh-CN" w:bidi="ar-SA"/>
        </w:rPr>
        <w:t>四十一</w:t>
      </w:r>
      <w:r>
        <w:rPr>
          <w:rFonts w:hint="default" w:ascii="黑体" w:hAnsi="黑体" w:eastAsia="黑体" w:cs="黑体"/>
          <w:snapToGrid w:val="0"/>
          <w:color w:val="auto"/>
          <w:spacing w:val="0"/>
          <w:kern w:val="0"/>
          <w:sz w:val="32"/>
          <w:szCs w:val="32"/>
          <w:highlight w:val="none"/>
          <w:lang w:val="en-US" w:eastAsia="en-US" w:bidi="ar-SA"/>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各级医保经办机构在本年度DIP住院统筹基金预算总额确定、病种目录及分值等动态调整完成前，可按照上一年度同期或者预拨月份住</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院统筹基金实</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际发生额的</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9</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0%对医疗机构进行预拨付，预拨计划报</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同</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级医保行政部门备案</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同意</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后实施。</w:t>
      </w:r>
    </w:p>
    <w:p w14:paraId="36917E63">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snapToGrid w:val="0"/>
          <w:color w:val="auto"/>
          <w:spacing w:val="0"/>
          <w:kern w:val="0"/>
          <w:sz w:val="32"/>
          <w:szCs w:val="32"/>
          <w:highlight w:val="none"/>
          <w:lang w:val="en-US" w:eastAsia="en-US" w:bidi="ar-SA"/>
        </w:rPr>
        <w:t>第</w:t>
      </w:r>
      <w:r>
        <w:rPr>
          <w:rFonts w:hint="eastAsia" w:ascii="黑体" w:hAnsi="黑体" w:eastAsia="黑体" w:cs="黑体"/>
          <w:snapToGrid w:val="0"/>
          <w:color w:val="auto"/>
          <w:spacing w:val="0"/>
          <w:kern w:val="0"/>
          <w:sz w:val="32"/>
          <w:szCs w:val="32"/>
          <w:highlight w:val="none"/>
          <w:lang w:val="en-US" w:eastAsia="zh-CN" w:bidi="ar-SA"/>
        </w:rPr>
        <w:t>四十二</w:t>
      </w:r>
      <w:r>
        <w:rPr>
          <w:rFonts w:hint="default" w:ascii="黑体" w:hAnsi="黑体" w:eastAsia="黑体" w:cs="黑体"/>
          <w:snapToGrid w:val="0"/>
          <w:color w:val="auto"/>
          <w:spacing w:val="0"/>
          <w:kern w:val="0"/>
          <w:sz w:val="32"/>
          <w:szCs w:val="32"/>
          <w:highlight w:val="none"/>
          <w:lang w:val="en-US" w:eastAsia="en-US" w:bidi="ar-SA"/>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各定点医疗机构应于每月5日前发起上月结算申请，并于每月10日前上传上月医疗保障基金结算清单等相关数据信息。各级医保经办机构于DIP分组结果确认后10个工作日内结算上月住院统筹基金费用，结算时</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按规定</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预留质量保证金。</w:t>
      </w:r>
    </w:p>
    <w:p w14:paraId="7F74DEEA">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snapToGrid w:val="0"/>
          <w:color w:val="auto"/>
          <w:spacing w:val="0"/>
          <w:kern w:val="0"/>
          <w:sz w:val="32"/>
          <w:szCs w:val="32"/>
          <w:highlight w:val="none"/>
          <w:lang w:val="en-US" w:eastAsia="en-US" w:bidi="ar-SA"/>
        </w:rPr>
        <w:t>第</w:t>
      </w:r>
      <w:r>
        <w:rPr>
          <w:rFonts w:hint="eastAsia" w:ascii="黑体" w:hAnsi="黑体" w:eastAsia="黑体" w:cs="黑体"/>
          <w:snapToGrid w:val="0"/>
          <w:color w:val="auto"/>
          <w:spacing w:val="0"/>
          <w:kern w:val="0"/>
          <w:sz w:val="32"/>
          <w:szCs w:val="32"/>
          <w:highlight w:val="none"/>
          <w:lang w:val="en-US" w:eastAsia="zh-CN" w:bidi="ar-SA"/>
        </w:rPr>
        <w:t>四十三</w:t>
      </w:r>
      <w:r>
        <w:rPr>
          <w:rFonts w:hint="default" w:ascii="黑体" w:hAnsi="黑体" w:eastAsia="黑体" w:cs="黑体"/>
          <w:snapToGrid w:val="0"/>
          <w:color w:val="auto"/>
          <w:spacing w:val="0"/>
          <w:kern w:val="0"/>
          <w:sz w:val="32"/>
          <w:szCs w:val="32"/>
          <w:highlight w:val="none"/>
          <w:lang w:val="en-US" w:eastAsia="en-US" w:bidi="ar-SA"/>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市级医保部门建立年度清算激励约束机制，实行</w:t>
      </w:r>
      <w:r>
        <w:rPr>
          <w:rFonts w:hint="eastAsia"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DIP付费预算“结余留用</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合理超支分担”，并与相关考核指标相挂钩。发挥医保支付引导作用，医疗机构通过规范服务行为、主动控制成本获得的结余资金，可作为业务性收入。同时，做好医保基金结余留用政策与集中带量采购等衔接，形成政策合力。</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DIP结算周期以参保人在定点医疗机构出院结算时间为准</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跨年度住院的费用累计到出院年度</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。经办机构对定点医疗机构上年度费用进行清算，市级医保经办机构</w:t>
      </w:r>
      <w:r>
        <w:rPr>
          <w:rFonts w:hint="default" w:ascii="Times New Roman" w:hAnsi="Times New Roman" w:eastAsia="仿宋_GB2312" w:cs="Times New Roman"/>
          <w:color w:val="000000" w:themeColor="text1"/>
          <w:spacing w:val="0"/>
          <w:sz w:val="32"/>
          <w:szCs w:val="32"/>
          <w:highlight w:val="none"/>
          <w:lang w:val="en-US"/>
          <w14:textFill>
            <w14:solidFill>
              <w14:schemeClr w14:val="tx1"/>
            </w14:solidFill>
          </w14:textFill>
        </w:rPr>
        <w:t>按规定</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制定全市清算方案，完成市本级医疗机构上年度费用清算，并指导各县</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市、区</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医保经办机构完成辖区内定点医疗机构上年度费用清算，年度清算方案及结果报市级医保行政部门备案后执行。</w:t>
      </w:r>
    </w:p>
    <w:p w14:paraId="0674BCAC">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各医疗机构年度DIP清算金额，根据DIP经办规程等相关规定计算。年度清算时应扣除DIP违规费用和不予返还的质量保证金数额。</w:t>
      </w:r>
    </w:p>
    <w:p w14:paraId="7B221ACA">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年度DIP清算金额=年度应结算金额-年度已拨付金额-年度违规费用-质量保证金扣款。</w:t>
      </w:r>
    </w:p>
    <w:p w14:paraId="56E84CC1">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根据各定点医疗机构年度综合考评结果，制定年终清算方案，按实际发生统筹基金金额与DIP结算金额的比较结果，确定追补金额，结合本年度已拨付金额和违约扣款金额，确定各定点医疗机构年度DIP清算金额。</w:t>
      </w:r>
    </w:p>
    <w:p w14:paraId="0894B920">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一</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当实际发生统筹基金金额小于DIP结算金额85%</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含85%</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的，按实际发生金额计算；</w:t>
      </w:r>
    </w:p>
    <w:p w14:paraId="2D61A2D7">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二</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当实际发生统筹基金金额在DIP结算金额85%-100%</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含100%</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之间的，按DIP结算金额计算；</w:t>
      </w:r>
    </w:p>
    <w:p w14:paraId="2AE385B8">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三</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当实际发生统筹基金金额超过DIP结算金额100%的，分段计算：100%-110%</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含110%</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原则上以风险储备金对超支部分按不高于70%比例进行补偿；110%以上部分不予支付。</w:t>
      </w:r>
    </w:p>
    <w:p w14:paraId="736D47EE">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p>
    <w:p w14:paraId="71F3C126">
      <w:pPr>
        <w:keepNext w:val="0"/>
        <w:keepLines w:val="0"/>
        <w:pageBreakBefore w:val="0"/>
        <w:widowControl w:val="0"/>
        <w:kinsoku/>
        <w:wordWrap/>
        <w:overflowPunct/>
        <w:topLinePunct w:val="0"/>
        <w:autoSpaceDE w:val="0"/>
        <w:autoSpaceDN w:val="0"/>
        <w:bidi w:val="0"/>
        <w:adjustRightInd w:val="0"/>
        <w:snapToGrid w:val="0"/>
        <w:spacing w:line="576" w:lineRule="exact"/>
        <w:ind w:right="0"/>
        <w:jc w:val="center"/>
        <w:textAlignment w:val="baseline"/>
        <w:outlineLvl w:val="2"/>
        <w:rPr>
          <w:rFonts w:hint="default" w:ascii="黑体" w:hAnsi="黑体" w:eastAsia="黑体" w:cs="黑体"/>
          <w:b w:val="0"/>
          <w:bCs w:val="0"/>
          <w:color w:val="000000" w:themeColor="text1"/>
          <w:spacing w:val="0"/>
          <w:sz w:val="32"/>
          <w:szCs w:val="32"/>
          <w:highlight w:val="none"/>
          <w14:textFill>
            <w14:solidFill>
              <w14:schemeClr w14:val="tx1"/>
            </w14:solidFill>
          </w14:textFill>
        </w:rPr>
      </w:pPr>
      <w:r>
        <w:rPr>
          <w:rFonts w:hint="default" w:ascii="黑体" w:hAnsi="黑体" w:eastAsia="黑体" w:cs="黑体"/>
          <w:b w:val="0"/>
          <w:bCs w:val="0"/>
          <w:color w:val="000000" w:themeColor="text1"/>
          <w:spacing w:val="0"/>
          <w:sz w:val="32"/>
          <w:szCs w:val="32"/>
          <w:highlight w:val="none"/>
          <w14:textFill>
            <w14:solidFill>
              <w14:schemeClr w14:val="tx1"/>
            </w14:solidFill>
          </w14:textFill>
        </w:rPr>
        <w:t>第</w:t>
      </w:r>
      <w:r>
        <w:rPr>
          <w:rFonts w:hint="default" w:ascii="黑体" w:hAnsi="黑体" w:eastAsia="黑体" w:cs="黑体"/>
          <w:b w:val="0"/>
          <w:bCs w:val="0"/>
          <w:color w:val="000000" w:themeColor="text1"/>
          <w:spacing w:val="0"/>
          <w:sz w:val="32"/>
          <w:szCs w:val="32"/>
          <w:highlight w:val="none"/>
          <w:lang w:eastAsia="zh-CN"/>
          <w14:textFill>
            <w14:solidFill>
              <w14:schemeClr w14:val="tx1"/>
            </w14:solidFill>
          </w14:textFill>
        </w:rPr>
        <w:t>八</w:t>
      </w:r>
      <w:r>
        <w:rPr>
          <w:rFonts w:hint="default" w:ascii="黑体" w:hAnsi="黑体" w:eastAsia="黑体" w:cs="黑体"/>
          <w:b w:val="0"/>
          <w:bCs w:val="0"/>
          <w:color w:val="000000" w:themeColor="text1"/>
          <w:spacing w:val="0"/>
          <w:sz w:val="32"/>
          <w:szCs w:val="32"/>
          <w:highlight w:val="none"/>
          <w14:textFill>
            <w14:solidFill>
              <w14:schemeClr w14:val="tx1"/>
            </w14:solidFill>
          </w14:textFill>
        </w:rPr>
        <w:t>章  监测监管</w:t>
      </w:r>
    </w:p>
    <w:p w14:paraId="6A866274">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第四十</w:t>
      </w:r>
      <w:r>
        <w:rPr>
          <w:rFonts w:hint="eastAsia" w:ascii="黑体" w:hAnsi="黑体" w:eastAsia="黑体" w:cs="黑体"/>
          <w:color w:val="000000" w:themeColor="text1"/>
          <w:spacing w:val="0"/>
          <w:sz w:val="32"/>
          <w:szCs w:val="32"/>
          <w:highlight w:val="none"/>
          <w:lang w:val="en-US" w:eastAsia="zh-CN"/>
          <w14:textFill>
            <w14:solidFill>
              <w14:schemeClr w14:val="tx1"/>
            </w14:solidFill>
          </w14:textFill>
        </w:rPr>
        <w:t>四</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各</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级</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医保经办机构要依据医疗机构</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服务协议、</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质控指标</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等</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结合住院满意度、病种绩效对比等指标，采取日常与年终考核相结合的形式，对医疗机构DIP付费工作进行客观、公正、全面的考核评价，考核结果与质量保证金返还相挂钩。可将年度医保基金支出增长率高于统筹地区平均增长率的医疗机构，列入重点监控名单，实施重点督查。</w:t>
      </w:r>
    </w:p>
    <w:p w14:paraId="5FFBA846">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第四十</w:t>
      </w:r>
      <w:r>
        <w:rPr>
          <w:rFonts w:hint="eastAsia" w:ascii="黑体" w:hAnsi="黑体" w:eastAsia="黑体" w:cs="黑体"/>
          <w:color w:val="000000" w:themeColor="text1"/>
          <w:spacing w:val="0"/>
          <w:sz w:val="32"/>
          <w:szCs w:val="32"/>
          <w:highlight w:val="none"/>
          <w:lang w:val="en-US" w:eastAsia="zh-CN"/>
          <w14:textFill>
            <w14:solidFill>
              <w14:schemeClr w14:val="tx1"/>
            </w14:solidFill>
          </w14:textFill>
        </w:rPr>
        <w:t>五</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eastAsia"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各</w:t>
      </w:r>
      <w:r>
        <w:rPr>
          <w:rFonts w:hint="default" w:ascii="Times New Roman" w:hAnsi="Times New Roman" w:eastAsia="仿宋_GB2312" w:cs="Times New Roman"/>
          <w:color w:val="000000" w:themeColor="text1"/>
          <w:spacing w:val="0"/>
          <w:sz w:val="32"/>
          <w:szCs w:val="32"/>
          <w:highlight w:val="none"/>
          <w:lang w:eastAsia="zh-CN"/>
          <w14:textFill>
            <w14:solidFill>
              <w14:schemeClr w14:val="tx1"/>
            </w14:solidFill>
          </w14:textFill>
        </w:rPr>
        <w:t>级</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医保部门要根据按病种付费特点，完善智能审核和监控规则，推进事前提醒接入和应用，重点对分解住院、高编高套、低标入院、推诿病人、治疗不足、转嫁住院费用、不符合出院标准强制出院等行为进行监管。创新监管方式，加强大数据筛查分析，推动线上智能监管与线下专项检查、飞行检查相结合，加大欺诈骗保打击力度。</w:t>
      </w:r>
    </w:p>
    <w:p w14:paraId="329A8B16">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color w:val="000000" w:themeColor="text1"/>
          <w:spacing w:val="0"/>
          <w:sz w:val="32"/>
          <w:szCs w:val="32"/>
          <w:highlight w:val="none"/>
          <w14:textFill>
            <w14:solidFill>
              <w14:schemeClr w14:val="tx1"/>
            </w14:solidFill>
          </w14:textFill>
        </w:rPr>
        <w:t>第四十</w:t>
      </w:r>
      <w:r>
        <w:rPr>
          <w:rFonts w:hint="eastAsia" w:ascii="黑体" w:hAnsi="黑体" w:eastAsia="黑体" w:cs="黑体"/>
          <w:color w:val="000000" w:themeColor="text1"/>
          <w:spacing w:val="0"/>
          <w:sz w:val="32"/>
          <w:szCs w:val="32"/>
          <w:highlight w:val="none"/>
          <w:lang w:val="en-US" w:eastAsia="zh-CN"/>
          <w14:textFill>
            <w14:solidFill>
              <w14:schemeClr w14:val="tx1"/>
            </w14:solidFill>
          </w14:textFill>
        </w:rPr>
        <w:t>六</w:t>
      </w:r>
      <w:r>
        <w:rPr>
          <w:rFonts w:hint="default" w:ascii="黑体" w:hAnsi="黑体" w:eastAsia="黑体" w:cs="黑体"/>
          <w:color w:val="000000" w:themeColor="text1"/>
          <w:spacing w:val="0"/>
          <w:sz w:val="32"/>
          <w:szCs w:val="32"/>
          <w:highlight w:val="none"/>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医疗机构要规范临床诊疗行为，因病施治、合理用药，严格控制个人自费费用比例，不得变相增加参保人员个人负担。要加强医保、病案、质控、信息等专业技术人员队伍能力建设；要高度重视医疗基础信息管理，规范填写结算清单、病案首页，将所有就诊参保人员的医疗费用明细按时、准确上传。医疗机构不得将DIP支付标准作为限额对医务人员进行考核或与绩效分配指标挂钩，相关内容可纳入定点服务协议约定。</w:t>
      </w:r>
    </w:p>
    <w:p w14:paraId="6D55B60F">
      <w:pPr>
        <w:pStyle w:val="2"/>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p>
    <w:p w14:paraId="0E73AB08">
      <w:pPr>
        <w:keepNext w:val="0"/>
        <w:keepLines w:val="0"/>
        <w:pageBreakBefore w:val="0"/>
        <w:widowControl w:val="0"/>
        <w:kinsoku/>
        <w:wordWrap/>
        <w:overflowPunct/>
        <w:topLinePunct w:val="0"/>
        <w:autoSpaceDE w:val="0"/>
        <w:autoSpaceDN w:val="0"/>
        <w:bidi w:val="0"/>
        <w:adjustRightInd w:val="0"/>
        <w:snapToGrid w:val="0"/>
        <w:spacing w:line="576" w:lineRule="exact"/>
        <w:ind w:right="0"/>
        <w:jc w:val="center"/>
        <w:textAlignment w:val="baseline"/>
        <w:outlineLvl w:val="2"/>
        <w:rPr>
          <w:rFonts w:hint="default" w:ascii="黑体" w:hAnsi="黑体" w:eastAsia="黑体" w:cs="黑体"/>
          <w:b w:val="0"/>
          <w:bCs w:val="0"/>
          <w:color w:val="000000" w:themeColor="text1"/>
          <w:spacing w:val="0"/>
          <w:sz w:val="32"/>
          <w:szCs w:val="32"/>
          <w:highlight w:val="none"/>
          <w14:textFill>
            <w14:solidFill>
              <w14:schemeClr w14:val="tx1"/>
            </w14:solidFill>
          </w14:textFill>
        </w:rPr>
      </w:pPr>
      <w:r>
        <w:rPr>
          <w:rFonts w:hint="default" w:ascii="黑体" w:hAnsi="黑体" w:eastAsia="黑体" w:cs="黑体"/>
          <w:b w:val="0"/>
          <w:bCs w:val="0"/>
          <w:color w:val="000000" w:themeColor="text1"/>
          <w:spacing w:val="0"/>
          <w:sz w:val="32"/>
          <w:szCs w:val="32"/>
          <w:highlight w:val="none"/>
          <w14:textFill>
            <w14:solidFill>
              <w14:schemeClr w14:val="tx1"/>
            </w14:solidFill>
          </w14:textFill>
        </w:rPr>
        <w:t>第</w:t>
      </w:r>
      <w:r>
        <w:rPr>
          <w:rFonts w:hint="default" w:ascii="黑体" w:hAnsi="黑体" w:eastAsia="黑体" w:cs="黑体"/>
          <w:b w:val="0"/>
          <w:bCs w:val="0"/>
          <w:color w:val="000000" w:themeColor="text1"/>
          <w:spacing w:val="0"/>
          <w:sz w:val="32"/>
          <w:szCs w:val="32"/>
          <w:highlight w:val="none"/>
          <w:lang w:eastAsia="zh-CN"/>
          <w14:textFill>
            <w14:solidFill>
              <w14:schemeClr w14:val="tx1"/>
            </w14:solidFill>
          </w14:textFill>
        </w:rPr>
        <w:t>九</w:t>
      </w:r>
      <w:r>
        <w:rPr>
          <w:rFonts w:hint="default" w:ascii="黑体" w:hAnsi="黑体" w:eastAsia="黑体" w:cs="黑体"/>
          <w:b w:val="0"/>
          <w:bCs w:val="0"/>
          <w:color w:val="000000" w:themeColor="text1"/>
          <w:spacing w:val="0"/>
          <w:sz w:val="32"/>
          <w:szCs w:val="32"/>
          <w:highlight w:val="none"/>
          <w14:textFill>
            <w14:solidFill>
              <w14:schemeClr w14:val="tx1"/>
            </w14:solidFill>
          </w14:textFill>
        </w:rPr>
        <w:t>章  附  则</w:t>
      </w:r>
    </w:p>
    <w:p w14:paraId="0CB8DFED">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黑体" w:hAnsi="黑体" w:eastAsia="黑体" w:cs="黑体"/>
          <w:snapToGrid w:val="0"/>
          <w:color w:val="000000" w:themeColor="text1"/>
          <w:spacing w:val="0"/>
          <w:kern w:val="0"/>
          <w:sz w:val="32"/>
          <w:szCs w:val="32"/>
          <w:highlight w:val="none"/>
          <w:lang w:val="en-US" w:eastAsia="en-US" w:bidi="ar-SA"/>
          <w14:textFill>
            <w14:solidFill>
              <w14:schemeClr w14:val="tx1"/>
            </w14:solidFill>
          </w14:textFill>
        </w:rPr>
        <w:t>第四十</w:t>
      </w:r>
      <w:r>
        <w:rPr>
          <w:rFonts w:hint="eastAsia" w:ascii="黑体" w:hAnsi="黑体" w:eastAsia="黑体" w:cs="黑体"/>
          <w:snapToGrid w:val="0"/>
          <w:color w:val="000000" w:themeColor="text1"/>
          <w:spacing w:val="0"/>
          <w:kern w:val="0"/>
          <w:sz w:val="32"/>
          <w:szCs w:val="32"/>
          <w:highlight w:val="none"/>
          <w:lang w:val="en-US" w:eastAsia="zh-CN" w:bidi="ar-SA"/>
          <w14:textFill>
            <w14:solidFill>
              <w14:schemeClr w14:val="tx1"/>
            </w14:solidFill>
          </w14:textFill>
        </w:rPr>
        <w:t>七</w:t>
      </w:r>
      <w:r>
        <w:rPr>
          <w:rFonts w:hint="default" w:ascii="黑体" w:hAnsi="黑体" w:eastAsia="黑体" w:cs="黑体"/>
          <w:snapToGrid w:val="0"/>
          <w:color w:val="000000" w:themeColor="text1"/>
          <w:spacing w:val="0"/>
          <w:kern w:val="0"/>
          <w:sz w:val="32"/>
          <w:szCs w:val="32"/>
          <w:highlight w:val="none"/>
          <w:lang w:val="en-US" w:eastAsia="en-US" w:bidi="ar-SA"/>
          <w14:textFill>
            <w14:solidFill>
              <w14:schemeClr w14:val="tx1"/>
            </w14:solidFill>
          </w14:textFill>
        </w:rPr>
        <w:t>条</w:t>
      </w:r>
      <w:r>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t xml:space="preserve">  </w:t>
      </w:r>
      <w:r>
        <w:rPr>
          <w:rFonts w:hint="default" w:ascii="Times New Roman" w:hAnsi="Times New Roman" w:eastAsia="仿宋_GB2312" w:cs="Times New Roman"/>
          <w:snapToGrid w:val="0"/>
          <w:color w:val="000000" w:themeColor="text1"/>
          <w:spacing w:val="0"/>
          <w:kern w:val="0"/>
          <w:sz w:val="32"/>
          <w:szCs w:val="32"/>
          <w:highlight w:val="none"/>
          <w:lang w:val="en-US" w:eastAsia="en-US" w:bidi="ar-SA"/>
          <w14:textFill>
            <w14:solidFill>
              <w14:schemeClr w14:val="tx1"/>
            </w14:solidFill>
          </w14:textFill>
        </w:rPr>
        <w:t>按病种付费适用于基本医保、大病保险、医疗救助等。本办法由</w:t>
      </w:r>
      <w:r>
        <w:rPr>
          <w:rFonts w:hint="default" w:ascii="Times New Roman" w:hAnsi="Times New Roman" w:eastAsia="仿宋_GB2312" w:cs="Times New Roman"/>
          <w:snapToGrid w:val="0"/>
          <w:color w:val="000000" w:themeColor="text1"/>
          <w:spacing w:val="0"/>
          <w:kern w:val="0"/>
          <w:sz w:val="32"/>
          <w:szCs w:val="32"/>
          <w:highlight w:val="none"/>
          <w:lang w:val="en-US" w:eastAsia="zh-CN" w:bidi="ar-SA"/>
          <w14:textFill>
            <w14:solidFill>
              <w14:schemeClr w14:val="tx1"/>
            </w14:solidFill>
          </w14:textFill>
        </w:rPr>
        <w:t>三门峡市</w:t>
      </w:r>
      <w:r>
        <w:rPr>
          <w:rFonts w:hint="default" w:ascii="Times New Roman" w:hAnsi="Times New Roman" w:eastAsia="仿宋_GB2312" w:cs="Times New Roman"/>
          <w:snapToGrid w:val="0"/>
          <w:color w:val="000000" w:themeColor="text1"/>
          <w:spacing w:val="0"/>
          <w:kern w:val="0"/>
          <w:sz w:val="32"/>
          <w:szCs w:val="32"/>
          <w:highlight w:val="none"/>
          <w:lang w:val="en-US" w:eastAsia="en-US" w:bidi="ar-SA"/>
          <w14:textFill>
            <w14:solidFill>
              <w14:schemeClr w14:val="tx1"/>
            </w14:solidFill>
          </w14:textFill>
        </w:rPr>
        <w:t>医疗保障局负责解释，自印发之日起施行。</w:t>
      </w:r>
    </w:p>
    <w:p w14:paraId="200BF56D">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jc w:val="both"/>
        <w:textAlignment w:val="baseline"/>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14:paraId="5DB0A1E9">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jc w:val="both"/>
        <w:textAlignment w:val="baseline"/>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14:paraId="316AE738">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jc w:val="both"/>
        <w:textAlignment w:val="baseline"/>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14:paraId="46A97655">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jc w:val="both"/>
        <w:textAlignment w:val="baseline"/>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14:paraId="6BC094EB">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jc w:val="both"/>
        <w:textAlignment w:val="baseline"/>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14:paraId="091329E5">
      <w:pPr>
        <w:keepNext w:val="0"/>
        <w:keepLines w:val="0"/>
        <w:pageBreakBefore w:val="0"/>
        <w:widowControl w:val="0"/>
        <w:kinsoku/>
        <w:wordWrap/>
        <w:overflowPunct/>
        <w:topLinePunct w:val="0"/>
        <w:autoSpaceDE w:val="0"/>
        <w:autoSpaceDN w:val="0"/>
        <w:bidi w:val="0"/>
        <w:adjustRightInd w:val="0"/>
        <w:snapToGrid w:val="0"/>
        <w:spacing w:line="576" w:lineRule="exact"/>
        <w:ind w:left="0" w:right="0"/>
        <w:jc w:val="both"/>
        <w:textAlignment w:val="baseline"/>
        <w:rPr>
          <w:rFonts w:hint="default" w:ascii="Times New Roman" w:hAnsi="Times New Roman" w:eastAsia="仿宋_GB2312" w:cs="Times New Roman"/>
          <w:color w:val="000000" w:themeColor="text1"/>
          <w:sz w:val="32"/>
          <w:szCs w:val="32"/>
          <w:highlight w:val="none"/>
          <w14:textFill>
            <w14:solidFill>
              <w14:schemeClr w14:val="tx1"/>
            </w14:solidFill>
          </w14:textFill>
        </w:rPr>
      </w:pPr>
    </w:p>
    <w:sectPr>
      <w:headerReference r:id="rId5" w:type="default"/>
      <w:footerReference r:id="rId6" w:type="default"/>
      <w:pgSz w:w="11910" w:h="16840"/>
      <w:pgMar w:top="2098" w:right="1474" w:bottom="1984" w:left="1587" w:header="0" w:footer="1134"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7662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-160020</wp:posOffset>
              </wp:positionV>
              <wp:extent cx="873760" cy="263525"/>
              <wp:effectExtent l="0" t="0" r="0" b="0"/>
              <wp:wrapNone/>
              <wp:docPr id="4" name="文本框 4"/>
              <wp:cNvGraphicFramePr/>
              <a:graphic xmlns:a="http://schemas.openxmlformats.org/drawingml/2006/main">
                <a:graphicData uri="http://schemas.microsoft.com/office/word/2010/wordprocessingShape">
                  <wps:wsp>
                    <wps:cNvSpPr txBox="1"/>
                    <wps:spPr>
                      <a:xfrm>
                        <a:off x="0" y="0"/>
                        <a:ext cx="87376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41FF50">
                          <w:pPr>
                            <w:pStyle w:val="3"/>
                            <w:ind w:firstLine="280" w:firstLineChars="10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2.6pt;height:20.75pt;width:68.8pt;mso-position-horizontal:outside;mso-position-horizontal-relative:margin;z-index:251659264;mso-width-relative:page;mso-height-relative:page;" filled="f" stroked="f" coordsize="21600,21600" o:gfxdata="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QidKh1wAAAAcBAAAPAAAAAAAAAAEAIAAAACIAAABkcnMvZG93bnJl&#10;di54bWxQSwECFAAUAAAACACHTuJAK5ROlDcCAABhBAAADgAAAAAAAAABACAAAAAmAQAAZHJzL2Uy&#10;b0RvYy54bWxQSwUGAAAAAAYABgBZAQAAzwUAAAAA&#10;">
              <v:fill on="f" focussize="0,0"/>
              <v:stroke on="f" weight="0.5pt"/>
              <v:imagedata o:title=""/>
              <o:lock v:ext="edit" aspectratio="f"/>
              <v:textbox inset="0mm,0mm,0mm,0mm">
                <w:txbxContent>
                  <w:p w14:paraId="7B41FF50">
                    <w:pPr>
                      <w:pStyle w:val="3"/>
                      <w:ind w:firstLine="280" w:firstLineChars="10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FF3C0">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D66539"/>
    <w:rsid w:val="057E5747"/>
    <w:rsid w:val="0B9C0FE8"/>
    <w:rsid w:val="0DE85E53"/>
    <w:rsid w:val="0FFDE29D"/>
    <w:rsid w:val="11E00A63"/>
    <w:rsid w:val="12C4557C"/>
    <w:rsid w:val="12D31395"/>
    <w:rsid w:val="1D5B914C"/>
    <w:rsid w:val="2375DF12"/>
    <w:rsid w:val="27EADFCF"/>
    <w:rsid w:val="27FF353C"/>
    <w:rsid w:val="2FD669B8"/>
    <w:rsid w:val="3B8710E7"/>
    <w:rsid w:val="3F773DD8"/>
    <w:rsid w:val="3FAACA1D"/>
    <w:rsid w:val="3FDFADE5"/>
    <w:rsid w:val="457CC131"/>
    <w:rsid w:val="4DFE3209"/>
    <w:rsid w:val="4DFE6344"/>
    <w:rsid w:val="4F466416"/>
    <w:rsid w:val="58A57130"/>
    <w:rsid w:val="5AB9826F"/>
    <w:rsid w:val="5EBD3A37"/>
    <w:rsid w:val="5F9E6C4E"/>
    <w:rsid w:val="5FBF687D"/>
    <w:rsid w:val="5FEB34A9"/>
    <w:rsid w:val="5FFE24A7"/>
    <w:rsid w:val="6092367F"/>
    <w:rsid w:val="65F54765"/>
    <w:rsid w:val="67BFD67B"/>
    <w:rsid w:val="699BC134"/>
    <w:rsid w:val="6BFEC0D9"/>
    <w:rsid w:val="6D8E279F"/>
    <w:rsid w:val="6DFFA766"/>
    <w:rsid w:val="6E7511DD"/>
    <w:rsid w:val="6FB68904"/>
    <w:rsid w:val="6FFE88A1"/>
    <w:rsid w:val="7457BDFD"/>
    <w:rsid w:val="7579DDA8"/>
    <w:rsid w:val="77EF4F9B"/>
    <w:rsid w:val="77EFEB30"/>
    <w:rsid w:val="7DF96870"/>
    <w:rsid w:val="7DFD1D87"/>
    <w:rsid w:val="7EF31E13"/>
    <w:rsid w:val="7FF3900D"/>
    <w:rsid w:val="7FFA8A38"/>
    <w:rsid w:val="9A5D97DA"/>
    <w:rsid w:val="9ED40E4E"/>
    <w:rsid w:val="A3FFB1A5"/>
    <w:rsid w:val="AE3F60FE"/>
    <w:rsid w:val="B2AB8406"/>
    <w:rsid w:val="BBA3F47E"/>
    <w:rsid w:val="BC6F17AB"/>
    <w:rsid w:val="BF7F05AD"/>
    <w:rsid w:val="BFF7496E"/>
    <w:rsid w:val="BFFFAAA3"/>
    <w:rsid w:val="CF7F47DE"/>
    <w:rsid w:val="D9FF4436"/>
    <w:rsid w:val="DD6D3B02"/>
    <w:rsid w:val="DDADDD24"/>
    <w:rsid w:val="DDEFEC0C"/>
    <w:rsid w:val="DF0D7669"/>
    <w:rsid w:val="DF97ADED"/>
    <w:rsid w:val="DFBDAF64"/>
    <w:rsid w:val="E7F8EA30"/>
    <w:rsid w:val="E97FEF0F"/>
    <w:rsid w:val="EEFFE15E"/>
    <w:rsid w:val="FB9FC6DC"/>
    <w:rsid w:val="FBDDFFD6"/>
    <w:rsid w:val="FED3F9BE"/>
    <w:rsid w:val="FF71F8F5"/>
    <w:rsid w:val="FFBFD560"/>
    <w:rsid w:val="FFDF706C"/>
    <w:rsid w:val="FFDFA0C4"/>
    <w:rsid w:val="FFF722D6"/>
    <w:rsid w:val="FFFB5BC0"/>
    <w:rsid w:val="FFFBBBE3"/>
    <w:rsid w:val="FFFEEC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仿宋" w:hAnsi="仿宋" w:eastAsia="仿宋" w:cs="仿宋"/>
      <w:sz w:val="26"/>
      <w:szCs w:val="26"/>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c0249a9f-01b3-4057-b7ab-c0064d5d03c5</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7F72BB11</paraID>
      <start>8</start>
      <end>15</end>
      <status>unmodified</status>
      <modifiedWord/>
      <trackRevisions>false</trackRevisions>
    </reviewItem>
    <reviewItem>
      <errorID>0a728ca9-490e-4bbc-9063-9c2f5349d4dc</errorID>
      <errorWord>医保支付改革</errorWord>
      <group>L1_Word</group>
      <groupName>字词问题</groupName>
      <ability>L2_Typo</ability>
      <abilityName>字词错误</abilityName>
      <candidateList>
        <item>医保支付方式改革</item>
      </candidateList>
      <explain/>
      <paraID>3FF44E9B</paraID>
      <start>43</start>
      <end>49</end>
      <status>unmodified</status>
      <modifiedWord/>
      <trackRevisions>false</trackRevisions>
    </reviewItem>
    <reviewItem>
      <errorID>601cfbda-e7f2-412d-a450-ad7c50826163</errorID>
      <errorWord>合并症</errorWord>
      <group>L1_Word</group>
      <groupName>字词问题</groupName>
      <ability>L2_Typo</ability>
      <abilityName>字词错误</abilityName>
      <candidateList>
        <item>并发症</item>
      </candidateList>
      <explain/>
      <paraID>288A896E</paraID>
      <start>29</start>
      <end>32</end>
      <status>unmodified</status>
      <modifiedWord/>
      <trackRevisions>false</trackRevisions>
    </reviewItem>
    <reviewItem>
      <errorID>5643ef37-f2b1-49c1-aed5-da3204d5383b</errorID>
      <errorWord>(</errorWord>
      <group>L1_Format</group>
      <groupName>格式问题</groupName>
      <ability>L2_HalfPunc_CN</ability>
      <abilityName>全半角问题</abilityName>
      <candidateList>
        <item>（</item>
      </candidateList>
      <explain>文本全半角错误。</explain>
      <paraID>5EE2E785</paraID>
      <start>21</start>
      <end>22</end>
      <status>unmodified</status>
      <modifiedWord/>
      <trackRevisions>false</trackRevisions>
    </reviewItem>
    <reviewItem>
      <errorID>d0688429-b8a3-4787-a2da-0e0bdf37b2fb</errorID>
      <errorWord>，</errorWord>
      <group>L1_Word</group>
      <groupName>字词问题</groupName>
      <ability>L2_Typo</ability>
      <abilityName>字词错误</abilityName>
      <candidateList>
        <item>，在</item>
      </candidateList>
      <explain/>
      <paraID>14D158CD</paraID>
      <start>85</start>
      <end>86</end>
      <status>unmodified</status>
      <modifiedWord/>
      <trackRevisions>false</trackRevisions>
    </reviewItem>
    <reviewItem>
      <errorID>3b1c6bac-838b-4c5c-8c29-0d1d1524734d</errorID>
      <errorWord>85%-100%</errorWord>
      <group>L1_Knowledge</group>
      <groupName>知识性问题</groupName>
      <ability>L2_Knowledge</ability>
      <abilityName>其他知识</abilityName>
      <candidateList>
        <item>85%—100%</item>
      </candidateList>
      <explain>1. “85%-100%”中的单位“%”仅出现在后一个数字上，容易引起歧义；根据《现代汉语标点符号数字用法规范手册》，数字表示范围两边需要使用统一的格式。2. 根据标点国标 4.13 中的规则，数字、时间或地域连接符应使用（视觉上更长的）“—”或“～”。</explain>
      <paraID>2D61A2D7</paraID>
      <start>22</start>
      <end>30</end>
      <status>unmodified</status>
      <modifiedWord/>
      <trackRevisions>false</trackRevisions>
    </reviewItem>
    <reviewItem>
      <errorID>edce0342-31b2-4c4e-8a81-db7280c7e9f2</errorID>
      <errorWord>100%-110%</errorWord>
      <group>L1_Knowledge</group>
      <groupName>知识性问题</groupName>
      <ability>L2_Knowledge</ability>
      <abilityName>其他知识</abilityName>
      <candidateList>
        <item>100%—110%</item>
      </candidateList>
      <explain>1. “100%-110%”中的单位“%”仅出现在后一个数字上，容易引起歧义；根据《现代汉语标点符号数字用法规范手册》，数字表示范围两边需要使用统一的格式。2. 根据标点国标 4.13 中的规则，数字、时间或地域连接符应使用（视觉上更长的）“—”或“～”。</explain>
      <paraID>2AE385B8</paraID>
      <start>34</start>
      <end>43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64aa76-2f23-4b03-8957-1b302efe1997}">
  <ds:schemaRefs/>
</ds:datastoreItem>
</file>

<file path=docProps/app.xml><?xml version="1.0" encoding="utf-8"?>
<Properties xmlns="http://schemas.openxmlformats.org/officeDocument/2006/extended-properties" xmlns:vt="http://schemas.openxmlformats.org/officeDocument/2006/docPropsVTypes">
  <Pages>14</Pages>
  <Words>6458</Words>
  <Characters>6661</Characters>
  <TotalTime>81</TotalTime>
  <ScaleCrop>false</ScaleCrop>
  <LinksUpToDate>false</LinksUpToDate>
  <CharactersWithSpaces>6778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2026-04-19T10:10:00Z</dcterms:created>
  <dc:creator>hk</dc:creator>
  <cp:lastModifiedBy>拾</cp:lastModifiedBy>
  <cp:lastPrinted>2026-07-29T07:33:00Z</cp:lastPrinted>
  <dcterms:modified xsi:type="dcterms:W3CDTF">2026-07-30T00:18:21Z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2026-04-16T10:10:55Z</vt:filetime>
  </property>
  <property fmtid="{D5CDD505-2E9C-101B-9397-08002B2CF9AE}" pid="4" name="UsrData">
    <vt:lpwstr>69e0452a7fe946001f3d705cwl</vt:lpwstr>
  </property>
  <property fmtid="{D5CDD505-2E9C-101B-9397-08002B2CF9AE}" pid="5" name="KSOProductBuildVer">
    <vt:lpwstr>2052-12.1.0.28043</vt:lpwstr>
  </property>
  <property fmtid="{D5CDD505-2E9C-101B-9397-08002B2CF9AE}" pid="6" name="ICV">
    <vt:lpwstr>75CD088A1345484F8C2FB74F5BA80DCD_13</vt:lpwstr>
  </property>
  <property fmtid="{D5CDD505-2E9C-101B-9397-08002B2CF9AE}" pid="7" name="KSOTemplateDocerSaveRecord">
    <vt:lpwstr>eyJoZGlkIjoiYWU4NzZlOTVhYjkyYjVkOTFiOTdmZTIwZTA3MGM0MjAiLCJ1c2VySWQiOiIzNTMyODkxNjIifQ==</vt:lpwstr>
  </property>
</Properties>
</file>